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32D5BD" w14:textId="77777777" w:rsidR="006705FC" w:rsidRDefault="006705FC">
      <w:pPr>
        <w:pStyle w:val="Standard"/>
        <w:rPr>
          <w:rFonts w:ascii="Calibri" w:hAnsi="Calibri" w:cs="Calibri"/>
          <w:sz w:val="23"/>
          <w:szCs w:val="23"/>
        </w:rPr>
      </w:pPr>
    </w:p>
    <w:p w14:paraId="233EA960" w14:textId="77777777" w:rsidR="006705FC" w:rsidRDefault="002E6C3A">
      <w:pPr>
        <w:pStyle w:val="Standard"/>
        <w:rPr>
          <w:rFonts w:hint="eastAsia"/>
        </w:rPr>
      </w:pPr>
      <w:r>
        <w:rPr>
          <w:rStyle w:val="Policepardfaut1"/>
          <w:rFonts w:ascii="Calibri" w:hAnsi="Calibri" w:cs="Calibri"/>
          <w:sz w:val="23"/>
          <w:szCs w:val="23"/>
        </w:rPr>
        <w:t xml:space="preserve">Ce document doit être déposé sur </w:t>
      </w:r>
      <w:hyperlink r:id="rId7" w:history="1">
        <w:r>
          <w:rPr>
            <w:rStyle w:val="Lienhypertexte1"/>
            <w:rFonts w:ascii="Calibri" w:hAnsi="Calibri" w:cs="Calibri"/>
            <w:sz w:val="23"/>
            <w:szCs w:val="23"/>
          </w:rPr>
          <w:t>nuxeo</w:t>
        </w:r>
      </w:hyperlink>
      <w:r>
        <w:rPr>
          <w:rStyle w:val="Policepardfaut1"/>
          <w:rFonts w:ascii="Calibri" w:hAnsi="Calibri" w:cs="Calibri"/>
          <w:sz w:val="23"/>
          <w:szCs w:val="23"/>
        </w:rPr>
        <w:t xml:space="preserve"> avec les annexes, sous forme de dossier compressé (zip ou autre).</w:t>
      </w:r>
    </w:p>
    <w:p w14:paraId="35F48923" w14:textId="77777777" w:rsidR="006705FC" w:rsidRDefault="006705FC">
      <w:pPr>
        <w:pStyle w:val="Standard"/>
        <w:rPr>
          <w:rFonts w:hint="eastAsia"/>
        </w:rPr>
      </w:pPr>
    </w:p>
    <w:p w14:paraId="013DE593" w14:textId="77777777" w:rsidR="006705FC" w:rsidRDefault="002E6C3A">
      <w:pPr>
        <w:pStyle w:val="Standard"/>
        <w:rPr>
          <w:rFonts w:ascii="Calibri" w:hAnsi="Calibri" w:cs="Calibri"/>
          <w:b/>
          <w:bCs/>
        </w:rPr>
      </w:pPr>
      <w:r>
        <w:rPr>
          <w:rFonts w:ascii="Calibri" w:hAnsi="Calibri" w:cs="Calibri"/>
          <w:b/>
          <w:bCs/>
        </w:rPr>
        <w:t>Direction des Etudes et de la Formation</w:t>
      </w:r>
    </w:p>
    <w:p w14:paraId="3E9CF46C" w14:textId="77777777" w:rsidR="006705FC" w:rsidRDefault="002E6C3A">
      <w:pPr>
        <w:pStyle w:val="Standard"/>
        <w:rPr>
          <w:rFonts w:hint="eastAsia"/>
        </w:rPr>
      </w:pPr>
      <w:r>
        <w:rPr>
          <w:rStyle w:val="Policepardfaut1"/>
          <w:rFonts w:ascii="Calibri" w:hAnsi="Calibri" w:cs="Calibri"/>
        </w:rPr>
        <w:t>Tel :+33 (0)</w:t>
      </w:r>
      <w:r>
        <w:t xml:space="preserve"> 4 89 15 16 04</w:t>
      </w:r>
      <w:r>
        <w:rPr>
          <w:rStyle w:val="Policepardfaut1"/>
          <w:rFonts w:ascii="Calibri" w:hAnsi="Calibri" w:cs="Calibri"/>
        </w:rPr>
        <w:t xml:space="preserve"> (secrétariat) BP 2135   - 06103 NICE CEDEX 2</w:t>
      </w:r>
    </w:p>
    <w:p w14:paraId="265999AC" w14:textId="77777777" w:rsidR="006705FC" w:rsidRDefault="006705FC">
      <w:pPr>
        <w:pStyle w:val="Standard"/>
        <w:rPr>
          <w:rFonts w:ascii="Calibri" w:hAnsi="Calibri" w:cs="Calibri"/>
        </w:rPr>
      </w:pPr>
    </w:p>
    <w:p w14:paraId="56691088" w14:textId="77777777" w:rsidR="006705FC" w:rsidRDefault="002E6C3A">
      <w:pPr>
        <w:pStyle w:val="Standard"/>
        <w:pBdr>
          <w:top w:val="single" w:sz="8" w:space="1" w:color="000000"/>
          <w:left w:val="single" w:sz="8" w:space="1" w:color="000000"/>
          <w:bottom w:val="single" w:sz="8" w:space="1" w:color="000000"/>
          <w:right w:val="single" w:sz="8" w:space="1" w:color="000000"/>
        </w:pBdr>
        <w:jc w:val="center"/>
        <w:rPr>
          <w:rFonts w:ascii="Calibri" w:hAnsi="Calibri" w:cs="Calibri"/>
          <w:b/>
          <w:bCs/>
          <w:sz w:val="32"/>
          <w:szCs w:val="32"/>
        </w:rPr>
      </w:pPr>
      <w:r>
        <w:rPr>
          <w:rFonts w:ascii="Calibri" w:hAnsi="Calibri" w:cs="Calibri"/>
          <w:b/>
          <w:bCs/>
          <w:sz w:val="32"/>
          <w:szCs w:val="32"/>
        </w:rPr>
        <w:t>Dossier de création, modification, renouvellement, fermeture</w:t>
      </w:r>
      <w:r>
        <w:rPr>
          <w:rFonts w:ascii="Calibri" w:hAnsi="Calibri" w:cs="Calibri"/>
          <w:b/>
          <w:bCs/>
          <w:sz w:val="32"/>
          <w:szCs w:val="32"/>
        </w:rPr>
        <w:br/>
        <w:t>Contrat 2018</w:t>
      </w:r>
      <w:r>
        <w:rPr>
          <w:rFonts w:ascii="Calibri" w:hAnsi="Calibri" w:cs="Calibri"/>
          <w:b/>
          <w:bCs/>
          <w:sz w:val="32"/>
          <w:szCs w:val="32"/>
        </w:rPr>
        <w:br/>
        <w:t>« DU et DIU »</w:t>
      </w:r>
    </w:p>
    <w:p w14:paraId="17AC2253" w14:textId="77777777" w:rsidR="006705FC" w:rsidRDefault="006705FC">
      <w:pPr>
        <w:pStyle w:val="Standard"/>
        <w:jc w:val="center"/>
        <w:rPr>
          <w:rFonts w:ascii="Calibri" w:hAnsi="Calibri" w:cs="Calibri"/>
        </w:rPr>
      </w:pPr>
    </w:p>
    <w:p w14:paraId="41AD99BA" w14:textId="77777777" w:rsidR="006705FC" w:rsidRDefault="006705FC">
      <w:pPr>
        <w:pStyle w:val="Standard"/>
        <w:jc w:val="center"/>
        <w:rPr>
          <w:rFonts w:hint="eastAsia"/>
        </w:rPr>
      </w:pPr>
    </w:p>
    <w:p w14:paraId="3BEF4AAA" w14:textId="77777777" w:rsidR="006705FC" w:rsidRDefault="002E6C3A">
      <w:pPr>
        <w:pStyle w:val="Titre11"/>
        <w:rPr>
          <w:rFonts w:hint="eastAsia"/>
        </w:rPr>
      </w:pPr>
      <w:r>
        <w:t>Note à l’attention des responsables de formation :</w:t>
      </w:r>
    </w:p>
    <w:p w14:paraId="66102A48" w14:textId="77777777" w:rsidR="006705FC" w:rsidRDefault="002E6C3A">
      <w:pPr>
        <w:pStyle w:val="Standard"/>
        <w:numPr>
          <w:ilvl w:val="0"/>
          <w:numId w:val="10"/>
        </w:numPr>
        <w:rPr>
          <w:rFonts w:hint="eastAsia"/>
        </w:rPr>
      </w:pPr>
      <w:r>
        <w:rPr>
          <w:rStyle w:val="Policepardfaut1"/>
          <w:rFonts w:ascii="Calibri" w:hAnsi="Calibri" w:cs="Calibri"/>
        </w:rPr>
        <w:t>L’équilibre financier est obligatoire, il constitue l’indicateur prioritaire.</w:t>
      </w:r>
    </w:p>
    <w:p w14:paraId="1532F3C9" w14:textId="77777777" w:rsidR="006705FC" w:rsidRDefault="002E6C3A">
      <w:pPr>
        <w:pStyle w:val="Standard"/>
        <w:numPr>
          <w:ilvl w:val="0"/>
          <w:numId w:val="10"/>
        </w:numPr>
        <w:rPr>
          <w:rFonts w:ascii="Calibri" w:hAnsi="Calibri" w:cs="Calibri"/>
        </w:rPr>
      </w:pPr>
      <w:r>
        <w:rPr>
          <w:rFonts w:ascii="Calibri" w:hAnsi="Calibri" w:cs="Calibri"/>
        </w:rPr>
        <w:t>Les effectifs, la satisfaction des étudiants et les partenariats sont autant d’indicateurs qui viennent compléter l’aspect financier.</w:t>
      </w:r>
    </w:p>
    <w:p w14:paraId="5EBF2183" w14:textId="77777777" w:rsidR="006705FC" w:rsidRDefault="002E6C3A">
      <w:pPr>
        <w:pStyle w:val="Standard"/>
        <w:numPr>
          <w:ilvl w:val="0"/>
          <w:numId w:val="10"/>
        </w:numPr>
        <w:rPr>
          <w:rFonts w:hint="eastAsia"/>
        </w:rPr>
      </w:pPr>
      <w:r>
        <w:rPr>
          <w:rStyle w:val="Policepardfaut1"/>
          <w:rFonts w:ascii="Calibri" w:hAnsi="Calibri" w:cs="Calibri"/>
        </w:rPr>
        <w:t>Pour les demandes de créations, toutes les informations devront être transmises par les déposants.</w:t>
      </w:r>
    </w:p>
    <w:p w14:paraId="657580F8" w14:textId="77777777" w:rsidR="006705FC" w:rsidRDefault="002E6C3A">
      <w:pPr>
        <w:pStyle w:val="Standard"/>
        <w:numPr>
          <w:ilvl w:val="0"/>
          <w:numId w:val="10"/>
        </w:numPr>
        <w:rPr>
          <w:rFonts w:hint="eastAsia"/>
        </w:rPr>
      </w:pPr>
      <w:r>
        <w:rPr>
          <w:rStyle w:val="Policepardfaut1"/>
          <w:rFonts w:ascii="Calibri" w:hAnsi="Calibri" w:cs="Calibri"/>
        </w:rPr>
        <w:t>Pour les demandes de modification, la dernière version du dossier devra être prise comme base de travail. Une ligne sera ajoutée dans le tableau de suivi en fin de document : elle synthétisera les modifications apportées en indiquant le numéro des paragraphes modifiés.</w:t>
      </w:r>
    </w:p>
    <w:p w14:paraId="67E196E3" w14:textId="77777777" w:rsidR="006705FC" w:rsidRDefault="002E6C3A">
      <w:pPr>
        <w:pStyle w:val="Standard"/>
        <w:numPr>
          <w:ilvl w:val="0"/>
          <w:numId w:val="10"/>
        </w:numPr>
        <w:rPr>
          <w:rFonts w:hint="eastAsia"/>
        </w:rPr>
      </w:pPr>
      <w:r>
        <w:rPr>
          <w:rStyle w:val="Policepardfaut1"/>
          <w:rFonts w:ascii="Calibri" w:hAnsi="Calibri" w:cs="Calibri"/>
        </w:rPr>
        <w:t>Toute demande de création validée sera valable trois ans. A l’issue de ces trois ans, une demande de renouvellement devra être faite :</w:t>
      </w:r>
    </w:p>
    <w:p w14:paraId="546678C7" w14:textId="77777777" w:rsidR="006705FC" w:rsidRDefault="002E6C3A">
      <w:pPr>
        <w:pStyle w:val="Standard"/>
        <w:numPr>
          <w:ilvl w:val="1"/>
          <w:numId w:val="10"/>
        </w:numPr>
        <w:rPr>
          <w:rFonts w:hint="eastAsia"/>
        </w:rPr>
      </w:pPr>
      <w:r>
        <w:rPr>
          <w:rStyle w:val="Policepardfaut1"/>
          <w:rFonts w:ascii="Calibri" w:hAnsi="Calibri" w:cs="Calibri"/>
        </w:rPr>
        <w:t>Si les indicateurs de suivi sont au vert et que les effectifs sont stables ou en augmentation, le renouvellement sera automatique après validation par le responsable des données fournies par la DEF.</w:t>
      </w:r>
    </w:p>
    <w:p w14:paraId="7A343CDC" w14:textId="77777777" w:rsidR="006705FC" w:rsidRDefault="002E6C3A">
      <w:pPr>
        <w:pStyle w:val="Standard"/>
        <w:numPr>
          <w:ilvl w:val="1"/>
          <w:numId w:val="10"/>
        </w:numPr>
        <w:rPr>
          <w:rFonts w:hint="eastAsia"/>
        </w:rPr>
      </w:pPr>
      <w:r>
        <w:rPr>
          <w:rStyle w:val="Policepardfaut1"/>
          <w:rFonts w:ascii="Calibri" w:hAnsi="Calibri" w:cs="Calibri"/>
        </w:rPr>
        <w:t>Si les indicateurs de suivi sont au vert mais que les effectifs sont en baisse, les parties du dossier non pré-remplies par la DEF devront permettre d’expliquer cette tendance.</w:t>
      </w:r>
    </w:p>
    <w:p w14:paraId="410FCA91" w14:textId="77777777" w:rsidR="006705FC" w:rsidRDefault="002E6C3A">
      <w:pPr>
        <w:pStyle w:val="Standard"/>
        <w:numPr>
          <w:ilvl w:val="1"/>
          <w:numId w:val="10"/>
        </w:numPr>
        <w:rPr>
          <w:rFonts w:hint="eastAsia"/>
        </w:rPr>
      </w:pPr>
      <w:r>
        <w:rPr>
          <w:rStyle w:val="Policepardfaut1"/>
          <w:rFonts w:ascii="Calibri" w:hAnsi="Calibri" w:cs="Calibri"/>
        </w:rPr>
        <w:t>Si les indicateurs de suivi sont au rouge, une période de redressement pourra être accordée en fonction du dossier.</w:t>
      </w:r>
    </w:p>
    <w:p w14:paraId="15DB0641" w14:textId="77777777" w:rsidR="006705FC" w:rsidRDefault="002E6C3A">
      <w:pPr>
        <w:pStyle w:val="Standard"/>
        <w:numPr>
          <w:ilvl w:val="0"/>
          <w:numId w:val="10"/>
        </w:numPr>
        <w:rPr>
          <w:rFonts w:ascii="Calibri" w:hAnsi="Calibri" w:cs="Calibri"/>
        </w:rPr>
      </w:pPr>
      <w:r>
        <w:rPr>
          <w:rFonts w:ascii="Calibri" w:hAnsi="Calibri" w:cs="Calibri"/>
        </w:rPr>
        <w:t>Pour un affichage correct de l’offre de formation, merci de faire une demande de fermeture.</w:t>
      </w:r>
    </w:p>
    <w:p w14:paraId="0E8B9C78" w14:textId="77777777" w:rsidR="006705FC" w:rsidRDefault="002E6C3A">
      <w:pPr>
        <w:pStyle w:val="Standard"/>
        <w:numPr>
          <w:ilvl w:val="0"/>
          <w:numId w:val="10"/>
        </w:numPr>
        <w:rPr>
          <w:rFonts w:hint="eastAsia"/>
        </w:rPr>
      </w:pPr>
      <w:r>
        <w:rPr>
          <w:rStyle w:val="Policepardfaut1"/>
          <w:rFonts w:ascii="Calibri" w:hAnsi="Calibri" w:cs="Calibri"/>
        </w:rPr>
        <w:t>Toute formation non ouverte pendant 2 années consécutives sera automatiquement fermée.</w:t>
      </w:r>
    </w:p>
    <w:p w14:paraId="1CFE6B8E" w14:textId="77777777" w:rsidR="006705FC" w:rsidRDefault="006705FC">
      <w:pPr>
        <w:pStyle w:val="Standard"/>
        <w:rPr>
          <w:rFonts w:ascii="Calibri" w:hAnsi="Calibri" w:cs="Calibri"/>
        </w:rPr>
      </w:pPr>
    </w:p>
    <w:p w14:paraId="6770F6C2" w14:textId="77777777" w:rsidR="006705FC" w:rsidRDefault="006705FC">
      <w:pPr>
        <w:pStyle w:val="Standard"/>
        <w:rPr>
          <w:rFonts w:ascii="Calibri" w:hAnsi="Calibri" w:cs="Calibri"/>
        </w:rPr>
      </w:pPr>
    </w:p>
    <w:p w14:paraId="73B757F3" w14:textId="77777777" w:rsidR="006705FC" w:rsidRDefault="006705FC">
      <w:pPr>
        <w:pStyle w:val="Standard"/>
        <w:rPr>
          <w:rFonts w:ascii="Calibri" w:hAnsi="Calibri" w:cs="Calibri"/>
        </w:rPr>
      </w:pPr>
    </w:p>
    <w:p w14:paraId="5BB5FF8F" w14:textId="77777777" w:rsidR="006705FC" w:rsidRDefault="006705FC">
      <w:pPr>
        <w:pStyle w:val="Standard"/>
        <w:rPr>
          <w:rFonts w:ascii="Calibri" w:hAnsi="Calibri" w:cs="Calibri"/>
        </w:rPr>
      </w:pPr>
    </w:p>
    <w:p w14:paraId="7019FB92" w14:textId="77777777" w:rsidR="006705FC" w:rsidRDefault="006705FC">
      <w:pPr>
        <w:pStyle w:val="Standard"/>
        <w:rPr>
          <w:rFonts w:ascii="Calibri" w:hAnsi="Calibri" w:cs="Calibri"/>
        </w:rPr>
      </w:pPr>
    </w:p>
    <w:p w14:paraId="2FD4FC16" w14:textId="77777777" w:rsidR="006705FC" w:rsidRDefault="006705FC">
      <w:pPr>
        <w:pStyle w:val="Standard"/>
        <w:rPr>
          <w:rFonts w:ascii="Calibri" w:hAnsi="Calibri" w:cs="Calibri"/>
        </w:rPr>
      </w:pPr>
    </w:p>
    <w:p w14:paraId="18D7AF23" w14:textId="77777777" w:rsidR="006705FC" w:rsidRDefault="006705FC">
      <w:pPr>
        <w:pStyle w:val="Standard"/>
        <w:rPr>
          <w:rFonts w:ascii="Calibri" w:hAnsi="Calibri" w:cs="Calibri"/>
        </w:rPr>
      </w:pPr>
    </w:p>
    <w:p w14:paraId="25668EB5" w14:textId="77777777" w:rsidR="006705FC" w:rsidRDefault="006705FC">
      <w:pPr>
        <w:pStyle w:val="Standard"/>
        <w:rPr>
          <w:rFonts w:ascii="Calibri" w:hAnsi="Calibri" w:cs="Calibri"/>
        </w:rPr>
      </w:pPr>
    </w:p>
    <w:p w14:paraId="6A7D8A0C" w14:textId="77777777" w:rsidR="006705FC" w:rsidRDefault="006705FC">
      <w:pPr>
        <w:pStyle w:val="Standard"/>
        <w:rPr>
          <w:rFonts w:ascii="Calibri" w:hAnsi="Calibri" w:cs="Calibri"/>
        </w:rPr>
      </w:pPr>
    </w:p>
    <w:p w14:paraId="6D25D575" w14:textId="77777777" w:rsidR="006705FC" w:rsidRDefault="006705FC">
      <w:pPr>
        <w:pStyle w:val="Standard"/>
        <w:rPr>
          <w:rFonts w:ascii="Calibri" w:hAnsi="Calibri" w:cs="Calibri"/>
        </w:rPr>
      </w:pPr>
    </w:p>
    <w:p w14:paraId="5F7AE74F" w14:textId="77777777" w:rsidR="006705FC" w:rsidRDefault="006705FC">
      <w:pPr>
        <w:pageBreakBefore/>
        <w:suppressAutoHyphens w:val="0"/>
        <w:rPr>
          <w:rFonts w:ascii="Calibri" w:hAnsi="Calibri" w:cs="Calibri"/>
        </w:rPr>
      </w:pPr>
    </w:p>
    <w:p w14:paraId="09089AA5" w14:textId="77777777" w:rsidR="006705FC" w:rsidRDefault="006705FC">
      <w:pPr>
        <w:pStyle w:val="Standard"/>
        <w:rPr>
          <w:rFonts w:ascii="Calibri" w:hAnsi="Calibri" w:cs="Calibri"/>
        </w:rPr>
      </w:pPr>
    </w:p>
    <w:p w14:paraId="2A21505C" w14:textId="77777777" w:rsidR="006705FC" w:rsidRDefault="006705FC">
      <w:pPr>
        <w:pStyle w:val="Standard"/>
        <w:rPr>
          <w:rFonts w:ascii="Calibri" w:hAnsi="Calibri" w:cs="Calibri"/>
        </w:rPr>
      </w:pPr>
    </w:p>
    <w:p w14:paraId="5B149789" w14:textId="77777777" w:rsidR="006705FC" w:rsidRDefault="002E6C3A">
      <w:pPr>
        <w:pStyle w:val="Titre11"/>
        <w:rPr>
          <w:rFonts w:hint="eastAsia"/>
        </w:rPr>
      </w:pPr>
      <w:r>
        <w:t>Identification de la formation</w:t>
      </w:r>
    </w:p>
    <w:p w14:paraId="400652DD" w14:textId="77777777" w:rsidR="006705FC" w:rsidRDefault="006705FC">
      <w:pPr>
        <w:pStyle w:val="Textbody"/>
        <w:rPr>
          <w:rFonts w:hint="eastAsia"/>
        </w:rPr>
      </w:pPr>
    </w:p>
    <w:tbl>
      <w:tblPr>
        <w:tblW w:w="10095" w:type="dxa"/>
        <w:tblInd w:w="-3" w:type="dxa"/>
        <w:tblLayout w:type="fixed"/>
        <w:tblCellMar>
          <w:left w:w="10" w:type="dxa"/>
          <w:right w:w="10" w:type="dxa"/>
        </w:tblCellMar>
        <w:tblLook w:val="0000" w:firstRow="0" w:lastRow="0" w:firstColumn="0" w:lastColumn="0" w:noHBand="0" w:noVBand="0"/>
      </w:tblPr>
      <w:tblGrid>
        <w:gridCol w:w="5841"/>
        <w:gridCol w:w="4254"/>
      </w:tblGrid>
      <w:tr w:rsidR="006705FC" w14:paraId="0DC356DF" w14:textId="77777777">
        <w:trPr>
          <w:trHeight w:hRule="exact" w:val="905"/>
        </w:trPr>
        <w:tc>
          <w:tcPr>
            <w:tcW w:w="5841"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4DA5B7EF" w14:textId="77777777" w:rsidR="006705FC" w:rsidRDefault="002E6C3A">
            <w:pPr>
              <w:pStyle w:val="Standard"/>
              <w:jc w:val="right"/>
              <w:rPr>
                <w:rFonts w:hint="eastAsia"/>
              </w:rPr>
            </w:pPr>
            <w:r>
              <w:rPr>
                <w:rStyle w:val="Policepardfaut1"/>
                <w:rFonts w:ascii="Calibri" w:hAnsi="Calibri" w:cs="Calibri"/>
                <w:b/>
                <w:bCs/>
              </w:rPr>
              <w:t>Intitulé du diplôme (reprendre l’intitulé CEVU ou CFVU) :</w:t>
            </w:r>
          </w:p>
        </w:tc>
        <w:tc>
          <w:tcPr>
            <w:tcW w:w="4254"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98E28E2" w14:textId="398972DD" w:rsidR="006705FC" w:rsidRDefault="006170F5">
            <w:pPr>
              <w:pStyle w:val="TableContents"/>
            </w:pPr>
            <w:r>
              <w:t>Master of Science Communication et Langages politiques</w:t>
            </w:r>
          </w:p>
        </w:tc>
      </w:tr>
      <w:tr w:rsidR="006705FC" w14:paraId="15CCA15B" w14:textId="77777777">
        <w:trPr>
          <w:trHeight w:hRule="exact" w:val="471"/>
        </w:trPr>
        <w:tc>
          <w:tcPr>
            <w:tcW w:w="5841" w:type="dxa"/>
            <w:tcBorders>
              <w:left w:val="single" w:sz="2" w:space="0" w:color="000000"/>
              <w:bottom w:val="single" w:sz="2" w:space="0" w:color="000000"/>
            </w:tcBorders>
            <w:shd w:val="clear" w:color="auto" w:fill="auto"/>
            <w:tcMar>
              <w:top w:w="55" w:type="dxa"/>
              <w:left w:w="55" w:type="dxa"/>
              <w:bottom w:w="55" w:type="dxa"/>
              <w:right w:w="55" w:type="dxa"/>
            </w:tcMar>
          </w:tcPr>
          <w:p w14:paraId="19E86AA7" w14:textId="77777777" w:rsidR="006705FC" w:rsidRDefault="002E6C3A">
            <w:pPr>
              <w:pStyle w:val="Standard"/>
              <w:jc w:val="right"/>
              <w:rPr>
                <w:rFonts w:ascii="Calibri" w:hAnsi="Calibri" w:cs="Calibri"/>
                <w:b/>
                <w:bCs/>
              </w:rPr>
            </w:pPr>
            <w:r>
              <w:rPr>
                <w:rFonts w:ascii="Calibri" w:hAnsi="Calibri" w:cs="Calibri"/>
                <w:b/>
                <w:bCs/>
              </w:rPr>
              <w:t>Composante :</w:t>
            </w:r>
          </w:p>
        </w:tc>
        <w:tc>
          <w:tcPr>
            <w:tcW w:w="425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045040A5" w14:textId="02612F06" w:rsidR="006705FC" w:rsidRDefault="006170F5">
            <w:pPr>
              <w:pStyle w:val="TableContents"/>
              <w:rPr>
                <w:rFonts w:hint="eastAsia"/>
              </w:rPr>
            </w:pPr>
            <w:r>
              <w:t>EUR CREATES et CRHI</w:t>
            </w:r>
          </w:p>
        </w:tc>
      </w:tr>
      <w:tr w:rsidR="006705FC" w14:paraId="0ADAC60C" w14:textId="77777777">
        <w:trPr>
          <w:trHeight w:hRule="exact" w:val="605"/>
        </w:trPr>
        <w:tc>
          <w:tcPr>
            <w:tcW w:w="5841" w:type="dxa"/>
            <w:tcBorders>
              <w:left w:val="single" w:sz="2" w:space="0" w:color="000000"/>
              <w:bottom w:val="single" w:sz="2" w:space="0" w:color="000000"/>
            </w:tcBorders>
            <w:shd w:val="clear" w:color="auto" w:fill="auto"/>
            <w:tcMar>
              <w:top w:w="55" w:type="dxa"/>
              <w:left w:w="55" w:type="dxa"/>
              <w:bottom w:w="55" w:type="dxa"/>
              <w:right w:w="55" w:type="dxa"/>
            </w:tcMar>
          </w:tcPr>
          <w:p w14:paraId="6656E85D" w14:textId="77777777" w:rsidR="006705FC" w:rsidRDefault="002E6C3A">
            <w:pPr>
              <w:pStyle w:val="Standard"/>
              <w:jc w:val="right"/>
              <w:rPr>
                <w:rFonts w:ascii="Calibri" w:hAnsi="Calibri" w:cs="Calibri"/>
                <w:b/>
                <w:bCs/>
              </w:rPr>
            </w:pPr>
            <w:r>
              <w:rPr>
                <w:rFonts w:ascii="Calibri" w:hAnsi="Calibri" w:cs="Calibri"/>
                <w:b/>
                <w:bCs/>
              </w:rPr>
              <w:t>Champ :</w:t>
            </w:r>
          </w:p>
        </w:tc>
        <w:tc>
          <w:tcPr>
            <w:tcW w:w="425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F1D1C7D" w14:textId="3BDD3971" w:rsidR="006705FC" w:rsidRDefault="006170F5">
            <w:pPr>
              <w:suppressAutoHyphens w:val="0"/>
              <w:spacing w:after="160" w:line="247" w:lineRule="auto"/>
              <w:textAlignment w:val="auto"/>
              <w:rPr>
                <w:rFonts w:hint="eastAsia"/>
              </w:rPr>
            </w:pPr>
            <w:r>
              <w:t>Sciences de la Communication, Droit, Histoire des idées</w:t>
            </w:r>
          </w:p>
        </w:tc>
      </w:tr>
      <w:tr w:rsidR="006705FC" w14:paraId="0E410ED5" w14:textId="77777777">
        <w:trPr>
          <w:trHeight w:hRule="exact" w:val="471"/>
        </w:trPr>
        <w:tc>
          <w:tcPr>
            <w:tcW w:w="5841" w:type="dxa"/>
            <w:tcBorders>
              <w:left w:val="single" w:sz="2" w:space="0" w:color="000000"/>
              <w:bottom w:val="single" w:sz="2" w:space="0" w:color="000000"/>
            </w:tcBorders>
            <w:shd w:val="clear" w:color="auto" w:fill="auto"/>
            <w:tcMar>
              <w:top w:w="55" w:type="dxa"/>
              <w:left w:w="55" w:type="dxa"/>
              <w:bottom w:w="55" w:type="dxa"/>
              <w:right w:w="55" w:type="dxa"/>
            </w:tcMar>
          </w:tcPr>
          <w:p w14:paraId="05EC7DA6" w14:textId="77777777" w:rsidR="006705FC" w:rsidRDefault="002E6C3A">
            <w:pPr>
              <w:pStyle w:val="Standard"/>
              <w:jc w:val="right"/>
              <w:rPr>
                <w:rFonts w:hint="eastAsia"/>
              </w:rPr>
            </w:pPr>
            <w:r>
              <w:rPr>
                <w:rStyle w:val="Policepardfaut1"/>
                <w:rFonts w:ascii="Calibri" w:hAnsi="Calibri" w:cs="Calibri"/>
                <w:b/>
                <w:bCs/>
              </w:rPr>
              <w:t>Niveau de sortie (L, M, D, Autre) :</w:t>
            </w:r>
          </w:p>
        </w:tc>
        <w:tc>
          <w:tcPr>
            <w:tcW w:w="425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C9D0120" w14:textId="30F17EF1" w:rsidR="006705FC" w:rsidRDefault="006170F5">
            <w:pPr>
              <w:pStyle w:val="TableContents"/>
            </w:pPr>
            <w:r>
              <w:t>DU (admission Bac +4)</w:t>
            </w:r>
          </w:p>
        </w:tc>
      </w:tr>
      <w:tr w:rsidR="006705FC" w14:paraId="480D5BB8" w14:textId="77777777">
        <w:trPr>
          <w:trHeight w:hRule="exact" w:val="1539"/>
        </w:trPr>
        <w:tc>
          <w:tcPr>
            <w:tcW w:w="5841" w:type="dxa"/>
            <w:tcBorders>
              <w:left w:val="single" w:sz="2" w:space="0" w:color="000000"/>
              <w:bottom w:val="single" w:sz="2" w:space="0" w:color="000000"/>
            </w:tcBorders>
            <w:shd w:val="clear" w:color="auto" w:fill="auto"/>
            <w:tcMar>
              <w:top w:w="55" w:type="dxa"/>
              <w:left w:w="55" w:type="dxa"/>
              <w:bottom w:w="55" w:type="dxa"/>
              <w:right w:w="55" w:type="dxa"/>
            </w:tcMar>
          </w:tcPr>
          <w:p w14:paraId="70E2AB90" w14:textId="77777777" w:rsidR="006705FC" w:rsidRDefault="002E6C3A">
            <w:pPr>
              <w:pStyle w:val="Standard"/>
              <w:jc w:val="right"/>
              <w:rPr>
                <w:rFonts w:ascii="Calibri" w:hAnsi="Calibri" w:cs="Calibri"/>
                <w:b/>
                <w:bCs/>
              </w:rPr>
            </w:pPr>
            <w:r>
              <w:rPr>
                <w:rFonts w:ascii="Calibri" w:hAnsi="Calibri" w:cs="Calibri"/>
                <w:b/>
                <w:bCs/>
              </w:rPr>
              <w:t>Coordonnées du responsable de la formation :</w:t>
            </w:r>
          </w:p>
          <w:p w14:paraId="42DC9744" w14:textId="77777777" w:rsidR="006705FC" w:rsidRDefault="006705FC">
            <w:pPr>
              <w:pStyle w:val="Standard"/>
              <w:jc w:val="right"/>
              <w:rPr>
                <w:rFonts w:hint="eastAsia"/>
                <w:b/>
                <w:bCs/>
              </w:rPr>
            </w:pPr>
          </w:p>
        </w:tc>
        <w:tc>
          <w:tcPr>
            <w:tcW w:w="425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3A3F188" w14:textId="7657835B" w:rsidR="006705FC" w:rsidRDefault="002E6C3A">
            <w:pPr>
              <w:pStyle w:val="TableContents"/>
              <w:tabs>
                <w:tab w:val="left" w:leader="underscore" w:pos="4086"/>
              </w:tabs>
              <w:rPr>
                <w:rFonts w:hint="eastAsia"/>
                <w:b/>
                <w:bCs/>
              </w:rPr>
            </w:pPr>
            <w:r>
              <w:rPr>
                <w:b/>
                <w:bCs/>
              </w:rPr>
              <w:t>Nom :</w:t>
            </w:r>
            <w:r w:rsidR="006170F5">
              <w:rPr>
                <w:b/>
                <w:bCs/>
              </w:rPr>
              <w:t xml:space="preserve"> TIRLONI</w:t>
            </w:r>
          </w:p>
          <w:p w14:paraId="6375C279" w14:textId="2A6E9928" w:rsidR="006705FC" w:rsidRDefault="006170F5">
            <w:pPr>
              <w:pStyle w:val="TableContents"/>
              <w:tabs>
                <w:tab w:val="left" w:leader="underscore" w:pos="4086"/>
              </w:tabs>
              <w:rPr>
                <w:rFonts w:hint="eastAsia"/>
                <w:b/>
                <w:bCs/>
              </w:rPr>
            </w:pPr>
            <w:r>
              <w:rPr>
                <w:b/>
                <w:bCs/>
              </w:rPr>
              <w:t>Prénom : Valentina</w:t>
            </w:r>
          </w:p>
          <w:p w14:paraId="37B29484" w14:textId="58D4E974" w:rsidR="006705FC" w:rsidRDefault="006170F5">
            <w:pPr>
              <w:pStyle w:val="TableContents"/>
              <w:tabs>
                <w:tab w:val="left" w:leader="underscore" w:pos="4088"/>
              </w:tabs>
              <w:rPr>
                <w:rFonts w:hint="eastAsia"/>
                <w:b/>
                <w:bCs/>
              </w:rPr>
            </w:pPr>
            <w:r>
              <w:rPr>
                <w:b/>
                <w:bCs/>
              </w:rPr>
              <w:t>Grade : MCF</w:t>
            </w:r>
          </w:p>
          <w:p w14:paraId="58F86FC2" w14:textId="03AC4B5E" w:rsidR="006705FC" w:rsidRDefault="006170F5">
            <w:pPr>
              <w:pStyle w:val="TableContents"/>
              <w:rPr>
                <w:rFonts w:hint="eastAsia"/>
                <w:b/>
                <w:bCs/>
              </w:rPr>
            </w:pPr>
            <w:r>
              <w:rPr>
                <w:b/>
                <w:bCs/>
              </w:rPr>
              <w:t>Courriel</w:t>
            </w:r>
            <w:r w:rsidR="002E6C3A">
              <w:rPr>
                <w:b/>
                <w:bCs/>
              </w:rPr>
              <w:t> :</w:t>
            </w:r>
            <w:r>
              <w:rPr>
                <w:b/>
                <w:bCs/>
              </w:rPr>
              <w:t xml:space="preserve"> valentina.tirloni@univ-cotedazur.fr</w:t>
            </w:r>
          </w:p>
          <w:p w14:paraId="4DE43D38" w14:textId="77777777" w:rsidR="006705FC" w:rsidRDefault="002E6C3A">
            <w:pPr>
              <w:pStyle w:val="TableContents"/>
              <w:tabs>
                <w:tab w:val="left" w:leader="underscore" w:pos="4088"/>
              </w:tabs>
              <w:rPr>
                <w:rFonts w:hint="eastAsia"/>
                <w:b/>
                <w:bCs/>
              </w:rPr>
            </w:pPr>
            <w:r>
              <w:rPr>
                <w:b/>
                <w:bCs/>
              </w:rPr>
              <w:tab/>
            </w:r>
          </w:p>
        </w:tc>
      </w:tr>
      <w:tr w:rsidR="006705FC" w14:paraId="7E2E087E" w14:textId="77777777">
        <w:trPr>
          <w:trHeight w:hRule="exact" w:val="471"/>
        </w:trPr>
        <w:tc>
          <w:tcPr>
            <w:tcW w:w="5841" w:type="dxa"/>
            <w:tcBorders>
              <w:left w:val="single" w:sz="2" w:space="0" w:color="000000"/>
              <w:bottom w:val="single" w:sz="2" w:space="0" w:color="000000"/>
            </w:tcBorders>
            <w:shd w:val="clear" w:color="auto" w:fill="auto"/>
            <w:tcMar>
              <w:top w:w="55" w:type="dxa"/>
              <w:left w:w="55" w:type="dxa"/>
              <w:bottom w:w="55" w:type="dxa"/>
              <w:right w:w="55" w:type="dxa"/>
            </w:tcMar>
          </w:tcPr>
          <w:p w14:paraId="43847B88" w14:textId="77777777" w:rsidR="006705FC" w:rsidRDefault="002E6C3A">
            <w:pPr>
              <w:pStyle w:val="Standard"/>
              <w:jc w:val="right"/>
              <w:rPr>
                <w:rFonts w:hint="eastAsia"/>
                <w:b/>
                <w:bCs/>
              </w:rPr>
            </w:pPr>
            <w:r>
              <w:rPr>
                <w:b/>
                <w:bCs/>
              </w:rPr>
              <w:t>Site web :</w:t>
            </w:r>
          </w:p>
        </w:tc>
        <w:tc>
          <w:tcPr>
            <w:tcW w:w="425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4C83FA81" w14:textId="77777777" w:rsidR="006705FC" w:rsidRDefault="006705FC">
            <w:pPr>
              <w:pStyle w:val="TableContents"/>
              <w:rPr>
                <w:rFonts w:hint="eastAsia"/>
              </w:rPr>
            </w:pPr>
          </w:p>
        </w:tc>
      </w:tr>
      <w:tr w:rsidR="006705FC" w14:paraId="190233F3" w14:textId="77777777">
        <w:trPr>
          <w:trHeight w:hRule="exact" w:val="471"/>
        </w:trPr>
        <w:tc>
          <w:tcPr>
            <w:tcW w:w="5841" w:type="dxa"/>
            <w:tcBorders>
              <w:left w:val="single" w:sz="2" w:space="0" w:color="000000"/>
              <w:bottom w:val="single" w:sz="2" w:space="0" w:color="000000"/>
            </w:tcBorders>
            <w:shd w:val="clear" w:color="auto" w:fill="auto"/>
            <w:tcMar>
              <w:top w:w="55" w:type="dxa"/>
              <w:left w:w="55" w:type="dxa"/>
              <w:bottom w:w="55" w:type="dxa"/>
              <w:right w:w="55" w:type="dxa"/>
            </w:tcMar>
          </w:tcPr>
          <w:p w14:paraId="4708BD9D" w14:textId="77777777" w:rsidR="006705FC" w:rsidRDefault="002E6C3A">
            <w:pPr>
              <w:pStyle w:val="Standard"/>
              <w:jc w:val="right"/>
              <w:rPr>
                <w:rFonts w:hint="eastAsia"/>
                <w:b/>
                <w:bCs/>
              </w:rPr>
            </w:pPr>
            <w:r>
              <w:rPr>
                <w:b/>
                <w:bCs/>
              </w:rPr>
              <w:t>Accessible à distance</w:t>
            </w:r>
          </w:p>
        </w:tc>
        <w:tc>
          <w:tcPr>
            <w:tcW w:w="425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55F02FB" w14:textId="77777777" w:rsidR="006705FC" w:rsidRDefault="006705FC">
            <w:pPr>
              <w:pStyle w:val="Standard"/>
              <w:rPr>
                <w:rFonts w:hint="eastAsia"/>
              </w:rPr>
            </w:pPr>
          </w:p>
        </w:tc>
      </w:tr>
      <w:tr w:rsidR="006705FC" w14:paraId="3A1718A0" w14:textId="77777777">
        <w:trPr>
          <w:trHeight w:hRule="exact" w:val="471"/>
        </w:trPr>
        <w:tc>
          <w:tcPr>
            <w:tcW w:w="5841" w:type="dxa"/>
            <w:tcBorders>
              <w:left w:val="single" w:sz="2" w:space="0" w:color="000000"/>
              <w:bottom w:val="single" w:sz="2" w:space="0" w:color="000000"/>
            </w:tcBorders>
            <w:shd w:val="clear" w:color="auto" w:fill="auto"/>
            <w:tcMar>
              <w:top w:w="55" w:type="dxa"/>
              <w:left w:w="55" w:type="dxa"/>
              <w:bottom w:w="55" w:type="dxa"/>
              <w:right w:w="55" w:type="dxa"/>
            </w:tcMar>
          </w:tcPr>
          <w:p w14:paraId="048F9FD0" w14:textId="77777777" w:rsidR="006705FC" w:rsidRDefault="002E6C3A">
            <w:pPr>
              <w:pStyle w:val="Standard"/>
              <w:jc w:val="right"/>
              <w:rPr>
                <w:rFonts w:hint="eastAsia"/>
                <w:b/>
                <w:bCs/>
              </w:rPr>
            </w:pPr>
            <w:r>
              <w:rPr>
                <w:b/>
                <w:bCs/>
              </w:rPr>
              <w:t>Stage</w:t>
            </w:r>
          </w:p>
        </w:tc>
        <w:tc>
          <w:tcPr>
            <w:tcW w:w="425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14F29A53" w14:textId="03D407F4" w:rsidR="006705FC" w:rsidRDefault="002E6C3A">
            <w:pPr>
              <w:pStyle w:val="Standard"/>
              <w:rPr>
                <w:rFonts w:hint="eastAsia"/>
              </w:rPr>
            </w:pPr>
            <w:r>
              <w:t>Durée :</w:t>
            </w:r>
            <w:r w:rsidR="006170F5">
              <w:t xml:space="preserve"> 4 à 6 mois</w:t>
            </w:r>
          </w:p>
        </w:tc>
      </w:tr>
    </w:tbl>
    <w:p w14:paraId="23188DFD" w14:textId="77777777" w:rsidR="006705FC" w:rsidRDefault="006705FC">
      <w:pPr>
        <w:pStyle w:val="Textbody"/>
        <w:rPr>
          <w:rFonts w:ascii="Calibri" w:hAnsi="Calibri" w:cs="Calibri"/>
        </w:rPr>
      </w:pPr>
    </w:p>
    <w:tbl>
      <w:tblPr>
        <w:tblW w:w="10093" w:type="dxa"/>
        <w:tblInd w:w="-147" w:type="dxa"/>
        <w:tblLayout w:type="fixed"/>
        <w:tblCellMar>
          <w:left w:w="10" w:type="dxa"/>
          <w:right w:w="10" w:type="dxa"/>
        </w:tblCellMar>
        <w:tblLook w:val="0000" w:firstRow="0" w:lastRow="0" w:firstColumn="0" w:lastColumn="0" w:noHBand="0" w:noVBand="0"/>
      </w:tblPr>
      <w:tblGrid>
        <w:gridCol w:w="6674"/>
        <w:gridCol w:w="3419"/>
      </w:tblGrid>
      <w:tr w:rsidR="006705FC" w14:paraId="7783EFB6" w14:textId="77777777">
        <w:trPr>
          <w:cantSplit/>
          <w:trHeight w:val="470"/>
        </w:trPr>
        <w:tc>
          <w:tcPr>
            <w:tcW w:w="6674" w:type="dxa"/>
            <w:tcBorders>
              <w:top w:val="single" w:sz="4" w:space="0" w:color="000000"/>
              <w:left w:val="single" w:sz="4" w:space="0" w:color="000000"/>
              <w:bottom w:val="single" w:sz="4" w:space="0" w:color="000000"/>
            </w:tcBorders>
            <w:shd w:val="clear" w:color="auto" w:fill="auto"/>
            <w:tcMar>
              <w:top w:w="0" w:type="dxa"/>
              <w:left w:w="70" w:type="dxa"/>
              <w:bottom w:w="0" w:type="dxa"/>
              <w:right w:w="70" w:type="dxa"/>
            </w:tcMar>
          </w:tcPr>
          <w:p w14:paraId="000BF0EA" w14:textId="77777777" w:rsidR="006705FC" w:rsidRDefault="006705FC">
            <w:pPr>
              <w:pStyle w:val="En-tte1"/>
              <w:tabs>
                <w:tab w:val="clear" w:pos="5046"/>
                <w:tab w:val="clear" w:pos="10092"/>
              </w:tabs>
              <w:snapToGrid w:val="0"/>
              <w:rPr>
                <w:rFonts w:ascii="Calibri" w:hAnsi="Calibri" w:cs="Calibri"/>
                <w:b/>
                <w:bCs/>
              </w:rPr>
            </w:pPr>
          </w:p>
          <w:p w14:paraId="6525F7DA" w14:textId="77777777" w:rsidR="006705FC" w:rsidRDefault="002E6C3A">
            <w:pPr>
              <w:pStyle w:val="En-tte1"/>
              <w:tabs>
                <w:tab w:val="clear" w:pos="5046"/>
                <w:tab w:val="clear" w:pos="10092"/>
              </w:tabs>
              <w:rPr>
                <w:rFonts w:hint="eastAsia"/>
              </w:rPr>
            </w:pPr>
            <w:r>
              <w:rPr>
                <w:rStyle w:val="Policepardfaut1"/>
                <w:rFonts w:ascii="Calibri" w:hAnsi="Calibri" w:cs="Calibri"/>
                <w:b/>
                <w:bCs/>
              </w:rPr>
              <w:t xml:space="preserve">Avis du Conseil  </w:t>
            </w:r>
            <w:r>
              <w:rPr>
                <w:rStyle w:val="Policepardfaut1"/>
                <w:rFonts w:ascii="Calibri" w:hAnsi="Calibri" w:cs="Calibri"/>
              </w:rPr>
              <w:t>(UFR, Institut ou  Ecole) :</w:t>
            </w:r>
          </w:p>
          <w:p w14:paraId="7CA264E6" w14:textId="77777777" w:rsidR="006705FC" w:rsidRDefault="006705FC">
            <w:pPr>
              <w:pStyle w:val="En-tte1"/>
              <w:tabs>
                <w:tab w:val="clear" w:pos="5046"/>
                <w:tab w:val="clear" w:pos="10092"/>
              </w:tabs>
              <w:rPr>
                <w:rFonts w:ascii="Calibri" w:hAnsi="Calibri" w:cs="Calibri"/>
              </w:rPr>
            </w:pPr>
          </w:p>
        </w:tc>
        <w:tc>
          <w:tcPr>
            <w:tcW w:w="341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D05B8F2" w14:textId="77777777" w:rsidR="006705FC" w:rsidRDefault="006705FC">
            <w:pPr>
              <w:pStyle w:val="Standard"/>
              <w:snapToGrid w:val="0"/>
              <w:rPr>
                <w:rFonts w:ascii="Calibri" w:hAnsi="Calibri" w:cs="Calibri"/>
                <w:b/>
                <w:bCs/>
              </w:rPr>
            </w:pPr>
          </w:p>
          <w:p w14:paraId="5F95239C" w14:textId="77777777" w:rsidR="006705FC" w:rsidRDefault="002E6C3A">
            <w:pPr>
              <w:pStyle w:val="Standard"/>
              <w:rPr>
                <w:rFonts w:ascii="Calibri" w:hAnsi="Calibri" w:cs="Calibri"/>
                <w:b/>
                <w:bCs/>
              </w:rPr>
            </w:pPr>
            <w:r>
              <w:rPr>
                <w:rFonts w:ascii="Calibri" w:hAnsi="Calibri" w:cs="Calibri"/>
                <w:b/>
                <w:bCs/>
              </w:rPr>
              <w:t>En date du :</w:t>
            </w:r>
          </w:p>
        </w:tc>
      </w:tr>
      <w:tr w:rsidR="006705FC" w14:paraId="48DB8CDA" w14:textId="77777777">
        <w:trPr>
          <w:cantSplit/>
          <w:trHeight w:val="417"/>
        </w:trPr>
        <w:tc>
          <w:tcPr>
            <w:tcW w:w="6674" w:type="dxa"/>
            <w:tcBorders>
              <w:top w:val="single" w:sz="4" w:space="0" w:color="000000"/>
              <w:left w:val="single" w:sz="4" w:space="0" w:color="000000"/>
              <w:bottom w:val="single" w:sz="4" w:space="0" w:color="000000"/>
            </w:tcBorders>
            <w:shd w:val="clear" w:color="auto" w:fill="FFFFFF"/>
            <w:tcMar>
              <w:top w:w="0" w:type="dxa"/>
              <w:left w:w="70" w:type="dxa"/>
              <w:bottom w:w="0" w:type="dxa"/>
              <w:right w:w="70" w:type="dxa"/>
            </w:tcMar>
          </w:tcPr>
          <w:p w14:paraId="1B90035E" w14:textId="77777777" w:rsidR="006705FC" w:rsidRDefault="006705FC">
            <w:pPr>
              <w:pStyle w:val="En-tte1"/>
              <w:tabs>
                <w:tab w:val="clear" w:pos="5046"/>
                <w:tab w:val="clear" w:pos="10092"/>
              </w:tabs>
              <w:snapToGrid w:val="0"/>
              <w:rPr>
                <w:rFonts w:ascii="Calibri" w:hAnsi="Calibri" w:cs="Calibri"/>
                <w:b/>
                <w:bCs/>
              </w:rPr>
            </w:pPr>
          </w:p>
          <w:p w14:paraId="7EDDF680" w14:textId="77777777" w:rsidR="006705FC" w:rsidRDefault="002E6C3A">
            <w:pPr>
              <w:pStyle w:val="En-tte1"/>
              <w:tabs>
                <w:tab w:val="clear" w:pos="5046"/>
                <w:tab w:val="clear" w:pos="10092"/>
              </w:tabs>
              <w:rPr>
                <w:rFonts w:ascii="Calibri" w:hAnsi="Calibri" w:cs="Calibri"/>
                <w:b/>
                <w:bCs/>
              </w:rPr>
            </w:pPr>
            <w:r>
              <w:rPr>
                <w:rFonts w:ascii="Calibri" w:hAnsi="Calibri" w:cs="Calibri"/>
                <w:b/>
                <w:bCs/>
              </w:rPr>
              <w:t>Visa du responsable de scolarité</w:t>
            </w:r>
          </w:p>
          <w:p w14:paraId="24468609" w14:textId="77777777" w:rsidR="006705FC" w:rsidRDefault="006705FC">
            <w:pPr>
              <w:pStyle w:val="En-tte1"/>
              <w:tabs>
                <w:tab w:val="clear" w:pos="5046"/>
                <w:tab w:val="clear" w:pos="10092"/>
              </w:tabs>
              <w:rPr>
                <w:rFonts w:ascii="Calibri" w:hAnsi="Calibri" w:cs="Calibri"/>
                <w:b/>
                <w:bCs/>
              </w:rPr>
            </w:pPr>
          </w:p>
        </w:tc>
        <w:tc>
          <w:tcPr>
            <w:tcW w:w="3419" w:type="dxa"/>
            <w:tcBorders>
              <w:top w:val="single" w:sz="4" w:space="0" w:color="000000"/>
              <w:left w:val="single" w:sz="4" w:space="0" w:color="000000"/>
              <w:bottom w:val="single" w:sz="4" w:space="0" w:color="000000"/>
              <w:right w:val="single" w:sz="4" w:space="0" w:color="000000"/>
            </w:tcBorders>
            <w:shd w:val="clear" w:color="auto" w:fill="FFFFFF"/>
            <w:tcMar>
              <w:top w:w="0" w:type="dxa"/>
              <w:left w:w="70" w:type="dxa"/>
              <w:bottom w:w="0" w:type="dxa"/>
              <w:right w:w="70" w:type="dxa"/>
            </w:tcMar>
          </w:tcPr>
          <w:p w14:paraId="4090D2B9" w14:textId="77777777" w:rsidR="006705FC" w:rsidRDefault="006705FC">
            <w:pPr>
              <w:pStyle w:val="En-tte1"/>
              <w:tabs>
                <w:tab w:val="clear" w:pos="5046"/>
                <w:tab w:val="clear" w:pos="10092"/>
              </w:tabs>
              <w:snapToGrid w:val="0"/>
              <w:rPr>
                <w:rFonts w:ascii="Calibri" w:hAnsi="Calibri" w:cs="Calibri"/>
                <w:b/>
                <w:bCs/>
              </w:rPr>
            </w:pPr>
          </w:p>
          <w:p w14:paraId="0EF0D9AD" w14:textId="77777777" w:rsidR="006705FC" w:rsidRDefault="002E6C3A">
            <w:pPr>
              <w:pStyle w:val="En-tte1"/>
              <w:tabs>
                <w:tab w:val="clear" w:pos="5046"/>
                <w:tab w:val="clear" w:pos="10092"/>
              </w:tabs>
              <w:rPr>
                <w:rFonts w:ascii="Calibri" w:hAnsi="Calibri" w:cs="Calibri"/>
                <w:b/>
                <w:bCs/>
              </w:rPr>
            </w:pPr>
            <w:r>
              <w:rPr>
                <w:rFonts w:ascii="Calibri" w:hAnsi="Calibri" w:cs="Calibri"/>
                <w:b/>
                <w:bCs/>
              </w:rPr>
              <w:t>En date du :</w:t>
            </w:r>
          </w:p>
        </w:tc>
      </w:tr>
      <w:tr w:rsidR="006705FC" w14:paraId="1978247A" w14:textId="77777777">
        <w:trPr>
          <w:cantSplit/>
          <w:trHeight w:val="417"/>
        </w:trPr>
        <w:tc>
          <w:tcPr>
            <w:tcW w:w="6674" w:type="dxa"/>
            <w:tcBorders>
              <w:top w:val="single" w:sz="4" w:space="0" w:color="000000"/>
              <w:left w:val="single" w:sz="4" w:space="0" w:color="000000"/>
              <w:bottom w:val="single" w:sz="4" w:space="0" w:color="000000"/>
            </w:tcBorders>
            <w:shd w:val="clear" w:color="auto" w:fill="D8D8D8"/>
            <w:tcMar>
              <w:top w:w="0" w:type="dxa"/>
              <w:left w:w="70" w:type="dxa"/>
              <w:bottom w:w="0" w:type="dxa"/>
              <w:right w:w="70" w:type="dxa"/>
            </w:tcMar>
          </w:tcPr>
          <w:p w14:paraId="29B75A38" w14:textId="77777777" w:rsidR="006705FC" w:rsidRDefault="006705FC">
            <w:pPr>
              <w:pStyle w:val="Standard"/>
              <w:snapToGrid w:val="0"/>
              <w:rPr>
                <w:rFonts w:ascii="Calibri" w:hAnsi="Calibri" w:cs="Calibri"/>
                <w:b/>
                <w:bCs/>
              </w:rPr>
            </w:pPr>
          </w:p>
          <w:p w14:paraId="7A0CD3B5" w14:textId="77777777" w:rsidR="006705FC" w:rsidRDefault="002E6C3A">
            <w:pPr>
              <w:pStyle w:val="Standard"/>
              <w:rPr>
                <w:rFonts w:ascii="Calibri" w:hAnsi="Calibri" w:cs="Calibri"/>
                <w:b/>
                <w:bCs/>
              </w:rPr>
            </w:pPr>
            <w:r>
              <w:rPr>
                <w:rFonts w:ascii="Calibri" w:hAnsi="Calibri" w:cs="Calibri"/>
                <w:b/>
                <w:bCs/>
              </w:rPr>
              <w:t>Avis de la CFVU</w:t>
            </w:r>
          </w:p>
          <w:p w14:paraId="5922BDE4" w14:textId="77777777" w:rsidR="006705FC" w:rsidRDefault="006705FC">
            <w:pPr>
              <w:pStyle w:val="Standard"/>
              <w:rPr>
                <w:rFonts w:ascii="Calibri" w:hAnsi="Calibri" w:cs="Calibri"/>
                <w:b/>
                <w:bCs/>
              </w:rPr>
            </w:pPr>
          </w:p>
        </w:tc>
        <w:tc>
          <w:tcPr>
            <w:tcW w:w="3419" w:type="dxa"/>
            <w:tcBorders>
              <w:top w:val="single" w:sz="4" w:space="0" w:color="000000"/>
              <w:left w:val="single" w:sz="4" w:space="0" w:color="000000"/>
              <w:bottom w:val="single" w:sz="4" w:space="0" w:color="000000"/>
              <w:right w:val="single" w:sz="4" w:space="0" w:color="000000"/>
            </w:tcBorders>
            <w:shd w:val="clear" w:color="auto" w:fill="D8D8D8"/>
            <w:tcMar>
              <w:top w:w="0" w:type="dxa"/>
              <w:left w:w="70" w:type="dxa"/>
              <w:bottom w:w="0" w:type="dxa"/>
              <w:right w:w="70" w:type="dxa"/>
            </w:tcMar>
          </w:tcPr>
          <w:p w14:paraId="24DBA67A" w14:textId="77777777" w:rsidR="006705FC" w:rsidRDefault="006705FC">
            <w:pPr>
              <w:pStyle w:val="Standard"/>
              <w:snapToGrid w:val="0"/>
              <w:rPr>
                <w:rFonts w:ascii="Calibri" w:hAnsi="Calibri" w:cs="Calibri"/>
                <w:b/>
                <w:bCs/>
              </w:rPr>
            </w:pPr>
          </w:p>
          <w:p w14:paraId="198E5736" w14:textId="77777777" w:rsidR="006705FC" w:rsidRDefault="002E6C3A">
            <w:pPr>
              <w:pStyle w:val="Standard"/>
              <w:rPr>
                <w:rFonts w:ascii="Calibri" w:hAnsi="Calibri" w:cs="Calibri"/>
                <w:b/>
                <w:bCs/>
              </w:rPr>
            </w:pPr>
            <w:r>
              <w:rPr>
                <w:rFonts w:ascii="Calibri" w:hAnsi="Calibri" w:cs="Calibri"/>
                <w:b/>
                <w:bCs/>
              </w:rPr>
              <w:t>En date du :</w:t>
            </w:r>
          </w:p>
          <w:p w14:paraId="04B471A3" w14:textId="77777777" w:rsidR="006705FC" w:rsidRDefault="006705FC">
            <w:pPr>
              <w:pStyle w:val="Standard"/>
              <w:rPr>
                <w:rFonts w:ascii="Calibri" w:hAnsi="Calibri" w:cs="Calibri"/>
                <w:b/>
                <w:bCs/>
              </w:rPr>
            </w:pPr>
          </w:p>
        </w:tc>
      </w:tr>
      <w:tr w:rsidR="006705FC" w14:paraId="27DD7663" w14:textId="77777777">
        <w:trPr>
          <w:cantSplit/>
          <w:trHeight w:val="722"/>
        </w:trPr>
        <w:tc>
          <w:tcPr>
            <w:tcW w:w="6674" w:type="dxa"/>
            <w:tcBorders>
              <w:top w:val="single" w:sz="4" w:space="0" w:color="000000"/>
              <w:left w:val="single" w:sz="4" w:space="0" w:color="000000"/>
              <w:bottom w:val="single" w:sz="4" w:space="0" w:color="000000"/>
            </w:tcBorders>
            <w:shd w:val="clear" w:color="auto" w:fill="D8D8D8"/>
            <w:tcMar>
              <w:top w:w="0" w:type="dxa"/>
              <w:left w:w="70" w:type="dxa"/>
              <w:bottom w:w="0" w:type="dxa"/>
              <w:right w:w="70" w:type="dxa"/>
            </w:tcMar>
          </w:tcPr>
          <w:p w14:paraId="311C20E2" w14:textId="77777777" w:rsidR="006705FC" w:rsidRDefault="006705FC">
            <w:pPr>
              <w:pStyle w:val="Standard"/>
              <w:snapToGrid w:val="0"/>
              <w:rPr>
                <w:rFonts w:ascii="Calibri" w:hAnsi="Calibri" w:cs="Calibri"/>
                <w:b/>
                <w:bCs/>
              </w:rPr>
            </w:pPr>
          </w:p>
          <w:p w14:paraId="1F26394C" w14:textId="77777777" w:rsidR="006705FC" w:rsidRDefault="002E6C3A">
            <w:pPr>
              <w:pStyle w:val="Standard"/>
              <w:rPr>
                <w:rFonts w:ascii="Calibri" w:hAnsi="Calibri" w:cs="Calibri"/>
                <w:b/>
                <w:bCs/>
              </w:rPr>
            </w:pPr>
            <w:r>
              <w:rPr>
                <w:rFonts w:ascii="Calibri" w:hAnsi="Calibri" w:cs="Calibri"/>
                <w:b/>
                <w:bCs/>
              </w:rPr>
              <w:t>Avis du CA</w:t>
            </w:r>
          </w:p>
          <w:p w14:paraId="1870DF1F" w14:textId="77777777" w:rsidR="006705FC" w:rsidRDefault="006705FC">
            <w:pPr>
              <w:pStyle w:val="En-tte1"/>
              <w:tabs>
                <w:tab w:val="clear" w:pos="5046"/>
                <w:tab w:val="clear" w:pos="10092"/>
              </w:tabs>
              <w:rPr>
                <w:rFonts w:ascii="Calibri" w:hAnsi="Calibri" w:cs="Calibri"/>
                <w:b/>
                <w:bCs/>
                <w:sz w:val="10"/>
              </w:rPr>
            </w:pPr>
          </w:p>
        </w:tc>
        <w:tc>
          <w:tcPr>
            <w:tcW w:w="3419" w:type="dxa"/>
            <w:tcBorders>
              <w:top w:val="single" w:sz="4" w:space="0" w:color="000000"/>
              <w:left w:val="single" w:sz="4" w:space="0" w:color="000000"/>
              <w:bottom w:val="single" w:sz="4" w:space="0" w:color="000000"/>
              <w:right w:val="single" w:sz="4" w:space="0" w:color="000000"/>
            </w:tcBorders>
            <w:shd w:val="clear" w:color="auto" w:fill="D8D8D8"/>
            <w:tcMar>
              <w:top w:w="0" w:type="dxa"/>
              <w:left w:w="70" w:type="dxa"/>
              <w:bottom w:w="0" w:type="dxa"/>
              <w:right w:w="70" w:type="dxa"/>
            </w:tcMar>
          </w:tcPr>
          <w:p w14:paraId="3D2C58D1" w14:textId="77777777" w:rsidR="006705FC" w:rsidRDefault="006705FC">
            <w:pPr>
              <w:pStyle w:val="Standard"/>
              <w:snapToGrid w:val="0"/>
              <w:rPr>
                <w:rFonts w:ascii="Calibri" w:hAnsi="Calibri" w:cs="Calibri"/>
                <w:b/>
                <w:bCs/>
                <w:sz w:val="10"/>
              </w:rPr>
            </w:pPr>
          </w:p>
          <w:p w14:paraId="69581860" w14:textId="77777777" w:rsidR="006705FC" w:rsidRDefault="002E6C3A">
            <w:pPr>
              <w:pStyle w:val="Standard"/>
              <w:rPr>
                <w:rFonts w:ascii="Calibri" w:hAnsi="Calibri" w:cs="Calibri"/>
                <w:b/>
                <w:bCs/>
              </w:rPr>
            </w:pPr>
            <w:r>
              <w:rPr>
                <w:rFonts w:ascii="Calibri" w:hAnsi="Calibri" w:cs="Calibri"/>
                <w:b/>
                <w:bCs/>
              </w:rPr>
              <w:t>En date du :</w:t>
            </w:r>
          </w:p>
          <w:p w14:paraId="73ABFB88" w14:textId="77777777" w:rsidR="006705FC" w:rsidRDefault="006705FC">
            <w:pPr>
              <w:pStyle w:val="Standard"/>
              <w:rPr>
                <w:rFonts w:ascii="Calibri" w:hAnsi="Calibri" w:cs="Calibri"/>
                <w:b/>
                <w:bCs/>
              </w:rPr>
            </w:pPr>
          </w:p>
        </w:tc>
      </w:tr>
    </w:tbl>
    <w:p w14:paraId="76136FAE" w14:textId="77777777" w:rsidR="006705FC" w:rsidRDefault="002E6C3A">
      <w:pPr>
        <w:pStyle w:val="Standard"/>
        <w:jc w:val="center"/>
        <w:rPr>
          <w:rFonts w:hint="eastAsia"/>
          <w:u w:val="single"/>
        </w:rPr>
      </w:pPr>
      <w:r>
        <w:rPr>
          <w:u w:val="single"/>
        </w:rPr>
        <w:t>Ne rien écrire dans les zones grisées</w:t>
      </w:r>
    </w:p>
    <w:p w14:paraId="62B05D7F" w14:textId="77777777" w:rsidR="006705FC" w:rsidRDefault="006705FC">
      <w:pPr>
        <w:pageBreakBefore/>
        <w:suppressAutoHyphens w:val="0"/>
        <w:rPr>
          <w:rFonts w:hint="eastAsia"/>
        </w:rPr>
      </w:pPr>
    </w:p>
    <w:p w14:paraId="22FFB192" w14:textId="77777777" w:rsidR="006705FC" w:rsidRDefault="006705FC">
      <w:pPr>
        <w:pStyle w:val="Standard"/>
        <w:jc w:val="center"/>
        <w:rPr>
          <w:rFonts w:hint="eastAsia"/>
        </w:rPr>
      </w:pPr>
    </w:p>
    <w:p w14:paraId="464BFF1D" w14:textId="77777777" w:rsidR="006705FC" w:rsidRDefault="002E6C3A">
      <w:pPr>
        <w:pStyle w:val="Titre11"/>
        <w:rPr>
          <w:rFonts w:hint="eastAsia"/>
        </w:rPr>
      </w:pPr>
      <w:r>
        <w:t>Bilan et auto-évaluation de la formation</w:t>
      </w:r>
    </w:p>
    <w:p w14:paraId="6C86C38A" w14:textId="77777777" w:rsidR="006705FC" w:rsidRDefault="002E6C3A">
      <w:pPr>
        <w:pStyle w:val="Titre21"/>
        <w:rPr>
          <w:rFonts w:hint="eastAsia"/>
        </w:rPr>
      </w:pPr>
      <w:r>
        <w:t>Objectifs</w:t>
      </w:r>
    </w:p>
    <w:p w14:paraId="09087454" w14:textId="77777777" w:rsidR="006705FC" w:rsidRDefault="002E6C3A">
      <w:pPr>
        <w:pStyle w:val="indication"/>
        <w:numPr>
          <w:ilvl w:val="0"/>
          <w:numId w:val="11"/>
        </w:numPr>
        <w:rPr>
          <w:rFonts w:hint="eastAsia"/>
        </w:rPr>
      </w:pPr>
      <w:r>
        <w:t>Les objectifs spécifiques de la formation.</w:t>
      </w:r>
    </w:p>
    <w:p w14:paraId="24638346" w14:textId="77777777" w:rsidR="006705FC" w:rsidRDefault="002E6C3A">
      <w:pPr>
        <w:pStyle w:val="indication"/>
        <w:numPr>
          <w:ilvl w:val="0"/>
          <w:numId w:val="11"/>
        </w:numPr>
        <w:rPr>
          <w:rFonts w:hint="eastAsia"/>
        </w:rPr>
      </w:pPr>
      <w:r>
        <w:t>Les connaissances et compétences attendues des étudiants à l’issue de la formation (sous forme d’une fiche RNCP pour les formations souhaitant bénéficier des fonds de la formation professionnelle et continue).</w:t>
      </w:r>
    </w:p>
    <w:p w14:paraId="18AFD638" w14:textId="77777777" w:rsidR="006705FC" w:rsidRDefault="002E6C3A">
      <w:pPr>
        <w:pStyle w:val="indication"/>
        <w:numPr>
          <w:ilvl w:val="0"/>
          <w:numId w:val="11"/>
        </w:numPr>
        <w:rPr>
          <w:rFonts w:hint="eastAsia"/>
        </w:rPr>
      </w:pPr>
      <w:r>
        <w:t>La valeur ajoutée de la formation.</w:t>
      </w:r>
    </w:p>
    <w:p w14:paraId="2CB9E841" w14:textId="77777777" w:rsidR="006705FC" w:rsidRDefault="006705FC">
      <w:pPr>
        <w:pStyle w:val="Standard"/>
        <w:rPr>
          <w:rFonts w:hint="eastAsia"/>
        </w:rPr>
      </w:pPr>
    </w:p>
    <w:p w14:paraId="79EF1E7A" w14:textId="1B6D2BA8" w:rsidR="006170F5" w:rsidRDefault="006170F5" w:rsidP="006170F5">
      <w:pPr>
        <w:pStyle w:val="Standard"/>
        <w:widowControl w:val="0"/>
        <w:numPr>
          <w:ilvl w:val="0"/>
          <w:numId w:val="20"/>
        </w:numPr>
        <w:tabs>
          <w:tab w:val="left" w:pos="940"/>
          <w:tab w:val="left" w:pos="1440"/>
        </w:tabs>
        <w:overflowPunct w:val="0"/>
        <w:autoSpaceDE w:val="0"/>
        <w:ind w:hanging="720"/>
        <w:rPr>
          <w:color w:val="000000"/>
          <w:sz w:val="28"/>
        </w:rPr>
      </w:pPr>
      <w:r>
        <w:rPr>
          <w:color w:val="000000"/>
          <w:sz w:val="28"/>
        </w:rPr>
        <w:t>Cette formation vise à étudier les processus de communication politique selon une approche transdisciplinaire constituée par les sciences de la communication, le droit et les systèmes politiques</w:t>
      </w:r>
      <w:r w:rsidR="00BF40A5">
        <w:rPr>
          <w:color w:val="000000"/>
          <w:sz w:val="28"/>
        </w:rPr>
        <w:t>,</w:t>
      </w:r>
      <w:r>
        <w:rPr>
          <w:color w:val="000000"/>
          <w:sz w:val="28"/>
        </w:rPr>
        <w:t xml:space="preserve"> </w:t>
      </w:r>
      <w:r w:rsidR="00BF40A5">
        <w:rPr>
          <w:color w:val="000000"/>
          <w:sz w:val="28"/>
        </w:rPr>
        <w:t>l</w:t>
      </w:r>
      <w:r w:rsidR="00BF40A5">
        <w:rPr>
          <w:rFonts w:hint="eastAsia"/>
          <w:color w:val="000000"/>
          <w:sz w:val="28"/>
        </w:rPr>
        <w:t>’</w:t>
      </w:r>
      <w:r w:rsidR="00BF40A5">
        <w:rPr>
          <w:color w:val="000000"/>
          <w:sz w:val="28"/>
        </w:rPr>
        <w:t>audiovisuel (sériestélé</w:t>
      </w:r>
      <w:r w:rsidR="00B94B7C">
        <w:rPr>
          <w:color w:val="000000"/>
          <w:sz w:val="28"/>
        </w:rPr>
        <w:t>),</w:t>
      </w:r>
      <w:r w:rsidR="00B94B7C" w:rsidRPr="00B94B7C">
        <w:rPr>
          <w:color w:val="000000"/>
          <w:sz w:val="28"/>
        </w:rPr>
        <w:t xml:space="preserve"> </w:t>
      </w:r>
      <w:r w:rsidR="00B94B7C">
        <w:rPr>
          <w:color w:val="000000"/>
          <w:sz w:val="28"/>
        </w:rPr>
        <w:t>les pratiques corporelles et les nouvelles technologies</w:t>
      </w:r>
      <w:r>
        <w:rPr>
          <w:color w:val="000000"/>
          <w:sz w:val="28"/>
        </w:rPr>
        <w:t>.</w:t>
      </w:r>
    </w:p>
    <w:p w14:paraId="65712E39" w14:textId="77777777" w:rsidR="006170F5" w:rsidRDefault="006170F5" w:rsidP="006170F5">
      <w:pPr>
        <w:pStyle w:val="Standard"/>
        <w:widowControl w:val="0"/>
        <w:numPr>
          <w:ilvl w:val="0"/>
          <w:numId w:val="20"/>
        </w:numPr>
        <w:tabs>
          <w:tab w:val="left" w:pos="940"/>
          <w:tab w:val="left" w:pos="1440"/>
        </w:tabs>
        <w:overflowPunct w:val="0"/>
        <w:autoSpaceDE w:val="0"/>
        <w:ind w:hanging="720"/>
        <w:rPr>
          <w:color w:val="000000"/>
          <w:sz w:val="28"/>
        </w:rPr>
      </w:pPr>
      <w:r>
        <w:rPr>
          <w:color w:val="000000"/>
          <w:sz w:val="28"/>
        </w:rPr>
        <w:t>Dans la Région PACA SUD, et même au niveau national, il n’y a pas une telle offre de formation qui en effet tend à élargir les études sur la communication politique à la discipline de la communication non verbale, à l’argumentation contradictoire et à l’expression corporelle, dimensions qui deviennent de plus en plus marquantes dans la réception du politique.</w:t>
      </w:r>
    </w:p>
    <w:p w14:paraId="42071CF2" w14:textId="77777777" w:rsidR="006170F5" w:rsidRDefault="006170F5" w:rsidP="006170F5">
      <w:pPr>
        <w:pStyle w:val="Standard"/>
        <w:widowControl w:val="0"/>
        <w:numPr>
          <w:ilvl w:val="0"/>
          <w:numId w:val="20"/>
        </w:numPr>
        <w:tabs>
          <w:tab w:val="left" w:pos="940"/>
          <w:tab w:val="left" w:pos="1440"/>
        </w:tabs>
        <w:overflowPunct w:val="0"/>
        <w:autoSpaceDE w:val="0"/>
        <w:ind w:hanging="720"/>
        <w:rPr>
          <w:color w:val="000000"/>
          <w:sz w:val="28"/>
        </w:rPr>
      </w:pPr>
      <w:r>
        <w:rPr>
          <w:color w:val="000000"/>
          <w:sz w:val="28"/>
        </w:rPr>
        <w:t>Les étudiants seront donc formés de façon pluridisciplinaire à tous les aspects de la dimension politique du discours, du débat et de la production politique.</w:t>
      </w:r>
    </w:p>
    <w:p w14:paraId="25EE3A65" w14:textId="77777777" w:rsidR="006170F5" w:rsidRDefault="006170F5" w:rsidP="006170F5">
      <w:pPr>
        <w:pStyle w:val="Standard"/>
        <w:widowControl w:val="0"/>
        <w:numPr>
          <w:ilvl w:val="0"/>
          <w:numId w:val="20"/>
        </w:numPr>
        <w:tabs>
          <w:tab w:val="left" w:pos="940"/>
          <w:tab w:val="left" w:pos="1440"/>
        </w:tabs>
        <w:overflowPunct w:val="0"/>
        <w:autoSpaceDE w:val="0"/>
        <w:ind w:hanging="720"/>
        <w:rPr>
          <w:color w:val="000000"/>
          <w:sz w:val="28"/>
        </w:rPr>
      </w:pPr>
      <w:r>
        <w:rPr>
          <w:color w:val="000000"/>
          <w:sz w:val="28"/>
        </w:rPr>
        <w:t>La valeur ajoutée se retrouve dans la dimension multidisciplinaire et technologique de cette formation de Master.</w:t>
      </w:r>
    </w:p>
    <w:p w14:paraId="730FCB25" w14:textId="2196EDF6" w:rsidR="006705FC" w:rsidRDefault="006705FC">
      <w:pPr>
        <w:pStyle w:val="Standard"/>
        <w:rPr>
          <w:rFonts w:hint="eastAsia"/>
        </w:rPr>
      </w:pPr>
    </w:p>
    <w:p w14:paraId="3FF139DC" w14:textId="77777777" w:rsidR="006705FC" w:rsidRDefault="002E6C3A">
      <w:pPr>
        <w:pStyle w:val="Titre21"/>
        <w:rPr>
          <w:rFonts w:hint="eastAsia"/>
        </w:rPr>
      </w:pPr>
      <w:r>
        <w:t>Organisation pédagogique</w:t>
      </w:r>
    </w:p>
    <w:p w14:paraId="24458AA9" w14:textId="77777777" w:rsidR="006705FC" w:rsidRDefault="002E6C3A">
      <w:pPr>
        <w:pStyle w:val="indication"/>
        <w:numPr>
          <w:ilvl w:val="0"/>
          <w:numId w:val="12"/>
        </w:numPr>
        <w:rPr>
          <w:rFonts w:hint="eastAsia"/>
        </w:rPr>
      </w:pPr>
      <w:r>
        <w:t>Commentaires explicitant la cohérence des contenus, l’articulation des unités d’enseignements et le choix de l’équipe pédagogique au regard des objectifs.</w:t>
      </w:r>
    </w:p>
    <w:p w14:paraId="1AE531CA" w14:textId="77777777" w:rsidR="006705FC" w:rsidRDefault="002E6C3A">
      <w:pPr>
        <w:pStyle w:val="indication"/>
        <w:numPr>
          <w:ilvl w:val="0"/>
          <w:numId w:val="12"/>
        </w:numPr>
        <w:rPr>
          <w:rFonts w:hint="eastAsia"/>
        </w:rPr>
      </w:pPr>
      <w:r>
        <w:t>La maquette des enseignements ainsi que la liste des intervenants seront fournis dans les annexes 1  et 2 selon les formats indiqués.</w:t>
      </w:r>
    </w:p>
    <w:p w14:paraId="65B3D54B" w14:textId="77777777" w:rsidR="006705FC" w:rsidRDefault="006705FC">
      <w:pPr>
        <w:pStyle w:val="indication"/>
        <w:rPr>
          <w:rFonts w:hint="eastAsia"/>
        </w:rPr>
      </w:pPr>
    </w:p>
    <w:p w14:paraId="6F6A3ACD" w14:textId="13613082" w:rsidR="006170F5" w:rsidRDefault="006170F5" w:rsidP="006170F5">
      <w:pPr>
        <w:pStyle w:val="Standard"/>
        <w:rPr>
          <w:sz w:val="28"/>
        </w:rPr>
      </w:pPr>
      <w:r>
        <w:rPr>
          <w:sz w:val="28"/>
        </w:rPr>
        <w:t>La dimension multidisciplinaire et transdisciplinaire renfor</w:t>
      </w:r>
      <w:r w:rsidR="00056D25">
        <w:rPr>
          <w:sz w:val="28"/>
        </w:rPr>
        <w:t>ce</w:t>
      </w:r>
      <w:r>
        <w:rPr>
          <w:sz w:val="28"/>
        </w:rPr>
        <w:t xml:space="preserve"> la cohérence de ce</w:t>
      </w:r>
      <w:r w:rsidR="00056D25">
        <w:rPr>
          <w:sz w:val="28"/>
        </w:rPr>
        <w:t>tte formation</w:t>
      </w:r>
      <w:r>
        <w:rPr>
          <w:sz w:val="28"/>
        </w:rPr>
        <w:t xml:space="preserve">. En ligne générale, les masters existants en France se concentrent exclusivement sur les sciences politiques et le droit avec une partie plus marginale consacrée à la communication. Dans cette offre de </w:t>
      </w:r>
      <w:r w:rsidR="00056D25">
        <w:rPr>
          <w:sz w:val="28"/>
        </w:rPr>
        <w:t>formation</w:t>
      </w:r>
      <w:r>
        <w:rPr>
          <w:sz w:val="28"/>
        </w:rPr>
        <w:t xml:space="preserve">, en revanche, la communication y joue un rôle central car toute politique est d’abord un discours qui se construit selon un langage politique précis et qui est produit par les corps et la voix des femmes et </w:t>
      </w:r>
      <w:r w:rsidR="00056D25">
        <w:rPr>
          <w:sz w:val="28"/>
        </w:rPr>
        <w:t xml:space="preserve">des </w:t>
      </w:r>
      <w:r>
        <w:rPr>
          <w:sz w:val="28"/>
        </w:rPr>
        <w:t>hommes politiques.</w:t>
      </w:r>
    </w:p>
    <w:p w14:paraId="595EB59E" w14:textId="128EB290" w:rsidR="006170F5" w:rsidRDefault="006170F5" w:rsidP="006170F5">
      <w:pPr>
        <w:pStyle w:val="Standard"/>
        <w:rPr>
          <w:sz w:val="28"/>
        </w:rPr>
      </w:pPr>
      <w:r>
        <w:rPr>
          <w:sz w:val="28"/>
        </w:rPr>
        <w:t>L’équipe pédagogique est constituée par des enseignants-chercheurs et des chercheurs du périmètre UCA, choisi pour leur compétence scientifique et pédagogique</w:t>
      </w:r>
      <w:r w:rsidR="00056D25">
        <w:rPr>
          <w:sz w:val="28"/>
        </w:rPr>
        <w:t>, ainsi que par des professionnels</w:t>
      </w:r>
      <w:r>
        <w:rPr>
          <w:sz w:val="28"/>
        </w:rPr>
        <w:t>.</w:t>
      </w:r>
    </w:p>
    <w:p w14:paraId="3F0A7FF4" w14:textId="4629A93A" w:rsidR="006705FC" w:rsidRDefault="006705FC">
      <w:pPr>
        <w:pStyle w:val="Standard"/>
        <w:rPr>
          <w:rFonts w:hint="eastAsia"/>
        </w:rPr>
      </w:pPr>
    </w:p>
    <w:p w14:paraId="10DB8817" w14:textId="77777777" w:rsidR="006705FC" w:rsidRDefault="006705FC">
      <w:pPr>
        <w:pStyle w:val="Standard"/>
        <w:rPr>
          <w:rFonts w:hint="eastAsia"/>
        </w:rPr>
      </w:pPr>
    </w:p>
    <w:p w14:paraId="510082AB" w14:textId="77777777" w:rsidR="006705FC" w:rsidRDefault="002E6C3A">
      <w:pPr>
        <w:pStyle w:val="Titre21"/>
        <w:rPr>
          <w:rFonts w:hint="eastAsia"/>
        </w:rPr>
      </w:pPr>
      <w:r>
        <w:t>Positionnement dans l’environnement</w:t>
      </w:r>
    </w:p>
    <w:p w14:paraId="1BA1A953" w14:textId="77777777" w:rsidR="006705FC" w:rsidRDefault="002E6C3A">
      <w:pPr>
        <w:pStyle w:val="indication"/>
        <w:numPr>
          <w:ilvl w:val="0"/>
          <w:numId w:val="13"/>
        </w:numPr>
        <w:rPr>
          <w:rFonts w:hint="eastAsia"/>
        </w:rPr>
      </w:pPr>
      <w:r>
        <w:t>Le positionnement et la valeur ajoutée de la formation au sein de l'établissement dans un ou plusieurs champs</w:t>
      </w:r>
    </w:p>
    <w:p w14:paraId="23E98868" w14:textId="77777777" w:rsidR="006705FC" w:rsidRDefault="002E6C3A">
      <w:pPr>
        <w:pStyle w:val="indication"/>
        <w:numPr>
          <w:ilvl w:val="0"/>
          <w:numId w:val="13"/>
        </w:numPr>
        <w:rPr>
          <w:rFonts w:hint="eastAsia"/>
        </w:rPr>
      </w:pPr>
      <w:r>
        <w:lastRenderedPageBreak/>
        <w:t>La liste des formations de niveau équivalent, proches thématiquement, dans l’environnement régional (et dans certains cas dans l’environnement national ou international) en indiquant comment s’organise, s’il y a lieu, la coopération de ces formations dans un souci de lisibilité de la carte territoriale des formations.</w:t>
      </w:r>
    </w:p>
    <w:p w14:paraId="5122BA8C" w14:textId="77777777" w:rsidR="006705FC" w:rsidRDefault="006705FC">
      <w:pPr>
        <w:pStyle w:val="Standard"/>
        <w:rPr>
          <w:rFonts w:hint="eastAsia"/>
        </w:rPr>
      </w:pPr>
    </w:p>
    <w:p w14:paraId="5E6F9AA7" w14:textId="77777777" w:rsidR="006170F5" w:rsidRDefault="006170F5" w:rsidP="006170F5">
      <w:pPr>
        <w:pStyle w:val="Standard"/>
      </w:pPr>
      <w:r>
        <w:t>Dans UCA, et même dans les autres établissements régionaux (voire nationaux) il n’y a aucune formation similaire et il n’existe même pas un cours consacré à la communication politique.</w:t>
      </w:r>
    </w:p>
    <w:p w14:paraId="3C5B729D" w14:textId="09BE23C9" w:rsidR="006705FC" w:rsidRDefault="006705FC">
      <w:pPr>
        <w:pStyle w:val="Standard"/>
        <w:rPr>
          <w:rFonts w:hint="eastAsia"/>
        </w:rPr>
      </w:pPr>
    </w:p>
    <w:p w14:paraId="1B48BE24" w14:textId="77777777" w:rsidR="006705FC" w:rsidRDefault="006705FC">
      <w:pPr>
        <w:pStyle w:val="Standard"/>
        <w:rPr>
          <w:rFonts w:hint="eastAsia"/>
        </w:rPr>
      </w:pPr>
    </w:p>
    <w:p w14:paraId="50B31B08" w14:textId="77777777" w:rsidR="006705FC" w:rsidRDefault="002E6C3A">
      <w:pPr>
        <w:pStyle w:val="Titre21"/>
        <w:rPr>
          <w:rFonts w:hint="eastAsia"/>
        </w:rPr>
      </w:pPr>
      <w:r>
        <w:t>Public</w:t>
      </w:r>
    </w:p>
    <w:p w14:paraId="0220E557" w14:textId="77777777" w:rsidR="006705FC" w:rsidRDefault="002E6C3A">
      <w:pPr>
        <w:pStyle w:val="indication"/>
        <w:numPr>
          <w:ilvl w:val="0"/>
          <w:numId w:val="14"/>
        </w:numPr>
        <w:rPr>
          <w:rFonts w:hint="eastAsia"/>
        </w:rPr>
      </w:pPr>
      <w:r>
        <w:t>Indiquez le vivier potentiel et  analysez le public, en particulier la part relative et l’origine des inscrits venant de l’UNS.</w:t>
      </w:r>
    </w:p>
    <w:p w14:paraId="430AEF81" w14:textId="77777777" w:rsidR="006705FC" w:rsidRDefault="002E6C3A">
      <w:pPr>
        <w:pStyle w:val="indication"/>
        <w:numPr>
          <w:ilvl w:val="0"/>
          <w:numId w:val="14"/>
        </w:numPr>
        <w:rPr>
          <w:rFonts w:hint="eastAsia"/>
        </w:rPr>
      </w:pPr>
      <w:r>
        <w:t>Recrutement :</w:t>
      </w:r>
    </w:p>
    <w:p w14:paraId="15930AD9" w14:textId="77777777" w:rsidR="006705FC" w:rsidRDefault="002E6C3A">
      <w:pPr>
        <w:pStyle w:val="indication"/>
        <w:numPr>
          <w:ilvl w:val="1"/>
          <w:numId w:val="14"/>
        </w:numPr>
        <w:rPr>
          <w:rFonts w:hint="eastAsia"/>
        </w:rPr>
      </w:pPr>
      <w:r>
        <w:t>Capacité.</w:t>
      </w:r>
    </w:p>
    <w:p w14:paraId="4513EF4A" w14:textId="77777777" w:rsidR="006705FC" w:rsidRDefault="002E6C3A">
      <w:pPr>
        <w:pStyle w:val="indication"/>
        <w:numPr>
          <w:ilvl w:val="1"/>
          <w:numId w:val="14"/>
        </w:numPr>
        <w:rPr>
          <w:rFonts w:hint="eastAsia"/>
        </w:rPr>
      </w:pPr>
      <w:r>
        <w:t>Modalités et critères de sélection.</w:t>
      </w:r>
    </w:p>
    <w:p w14:paraId="28CFB629" w14:textId="77777777" w:rsidR="006705FC" w:rsidRDefault="002E6C3A">
      <w:pPr>
        <w:pStyle w:val="indication"/>
        <w:numPr>
          <w:ilvl w:val="1"/>
          <w:numId w:val="14"/>
        </w:numPr>
        <w:rPr>
          <w:rFonts w:hint="eastAsia"/>
        </w:rPr>
      </w:pPr>
      <w:r>
        <w:t>Analyse critique de l’évolution du vivier et des effectifs.</w:t>
      </w:r>
    </w:p>
    <w:p w14:paraId="438C1949" w14:textId="77777777" w:rsidR="006705FC" w:rsidRDefault="002E6C3A">
      <w:pPr>
        <w:pStyle w:val="indication"/>
        <w:numPr>
          <w:ilvl w:val="0"/>
          <w:numId w:val="14"/>
        </w:numPr>
        <w:rPr>
          <w:rFonts w:hint="eastAsia"/>
        </w:rPr>
      </w:pPr>
      <w:r>
        <w:t>Description et analyse critique de la stratégie de communication en direction du vivier visé.</w:t>
      </w:r>
    </w:p>
    <w:p w14:paraId="70B2EFEA" w14:textId="77777777" w:rsidR="006705FC" w:rsidRDefault="002E6C3A">
      <w:pPr>
        <w:pStyle w:val="indication"/>
        <w:numPr>
          <w:ilvl w:val="0"/>
          <w:numId w:val="14"/>
        </w:numPr>
        <w:rPr>
          <w:rFonts w:hint="eastAsia"/>
        </w:rPr>
      </w:pPr>
      <w:r>
        <w:t>L’évolution des effectifs de la formation sera fournie en annexe 4.</w:t>
      </w:r>
    </w:p>
    <w:p w14:paraId="1BAAE184" w14:textId="77777777" w:rsidR="006705FC" w:rsidRDefault="006705FC">
      <w:pPr>
        <w:pStyle w:val="indication"/>
        <w:rPr>
          <w:rFonts w:hint="eastAsia"/>
        </w:rPr>
      </w:pPr>
    </w:p>
    <w:p w14:paraId="78407ACF" w14:textId="4E7A22C3" w:rsidR="006170F5" w:rsidRDefault="006170F5" w:rsidP="006170F5">
      <w:pPr>
        <w:pStyle w:val="Standard"/>
      </w:pPr>
      <w:r>
        <w:t>Cette formation vise les professions suivantes: spin doctor, consultant politique, analyste politique, écrivain politique, journaliste politique, politiciens</w:t>
      </w:r>
      <w:r w:rsidR="00C51A0C">
        <w:t>, scénaristes, showrunners</w:t>
      </w:r>
      <w:r>
        <w:t>.</w:t>
      </w:r>
    </w:p>
    <w:p w14:paraId="5CB448DD" w14:textId="77777777" w:rsidR="006170F5" w:rsidRDefault="006170F5" w:rsidP="006170F5">
      <w:pPr>
        <w:pStyle w:val="Standard"/>
      </w:pPr>
      <w:r>
        <w:t>Recrutement:</w:t>
      </w:r>
    </w:p>
    <w:p w14:paraId="0B5C3542" w14:textId="77777777" w:rsidR="006170F5" w:rsidRDefault="006170F5" w:rsidP="006170F5">
      <w:pPr>
        <w:pStyle w:val="Standard"/>
      </w:pPr>
      <w:r>
        <w:tab/>
        <w:t>- Capacité: 20 personnes</w:t>
      </w:r>
    </w:p>
    <w:p w14:paraId="6B73D8D3" w14:textId="2062540E" w:rsidR="006170F5" w:rsidRDefault="006170F5" w:rsidP="006170F5">
      <w:pPr>
        <w:pStyle w:val="Standard"/>
      </w:pPr>
      <w:r>
        <w:tab/>
        <w:t>- Modalité et critères de sélection: la sélection sera collective et effectuée par l’équipe pédagogique sur présentation d’un dossier des études validées et d’une lettre de motivation écrite à la main. Un éventuel entretien téléphonique pourrait éclairer les doutes de l’équipe pédagogique.</w:t>
      </w:r>
      <w:r w:rsidR="00056D25">
        <w:t xml:space="preserve"> N</w:t>
      </w:r>
      <w:r w:rsidR="00056D25">
        <w:rPr>
          <w:rFonts w:hint="eastAsia"/>
        </w:rPr>
        <w:t>i</w:t>
      </w:r>
      <w:r w:rsidR="00056D25">
        <w:t>veau requis</w:t>
      </w:r>
      <w:r w:rsidR="00056D25">
        <w:rPr>
          <w:rFonts w:hint="eastAsia"/>
        </w:rPr>
        <w:t> </w:t>
      </w:r>
      <w:r w:rsidR="00056D25">
        <w:t>: BAC +4.</w:t>
      </w:r>
    </w:p>
    <w:p w14:paraId="56520B2A" w14:textId="77777777" w:rsidR="006170F5" w:rsidRDefault="006170F5" w:rsidP="006170F5">
      <w:pPr>
        <w:pStyle w:val="Standard"/>
      </w:pPr>
      <w:r>
        <w:tab/>
        <w:t>- Evolution du vivier: Ce Master repose aussi sur une bonne relation avec les institutions territoriales publiques auprès desquelles les stages pourraient aussi être effectués.</w:t>
      </w:r>
    </w:p>
    <w:p w14:paraId="2483357B" w14:textId="77777777" w:rsidR="006170F5" w:rsidRDefault="006170F5" w:rsidP="006170F5">
      <w:pPr>
        <w:pStyle w:val="Standard"/>
      </w:pPr>
      <w:r>
        <w:t>La stratégie de communication est liée à la réalisation d’une brochure et d’un site internet. La plus ample communication sera faite dans les salons des étudiants et par le biais de la communication numérique.</w:t>
      </w:r>
    </w:p>
    <w:p w14:paraId="059A4206" w14:textId="4D4C03F4" w:rsidR="006705FC" w:rsidRDefault="006705FC">
      <w:pPr>
        <w:pStyle w:val="Standard"/>
        <w:rPr>
          <w:rFonts w:hint="eastAsia"/>
        </w:rPr>
      </w:pPr>
    </w:p>
    <w:p w14:paraId="09E39515" w14:textId="77777777" w:rsidR="006705FC" w:rsidRDefault="006705FC">
      <w:pPr>
        <w:pStyle w:val="Standard"/>
        <w:rPr>
          <w:rFonts w:hint="eastAsia"/>
        </w:rPr>
      </w:pPr>
    </w:p>
    <w:p w14:paraId="7ADB033E" w14:textId="77777777" w:rsidR="006705FC" w:rsidRDefault="002E6C3A">
      <w:pPr>
        <w:pStyle w:val="Titre21"/>
        <w:rPr>
          <w:rFonts w:hint="eastAsia"/>
        </w:rPr>
      </w:pPr>
      <w:r>
        <w:t>Modalités d’enseignement et place du numérique</w:t>
      </w:r>
    </w:p>
    <w:p w14:paraId="3F185FB4" w14:textId="77777777" w:rsidR="006705FC" w:rsidRDefault="002E6C3A">
      <w:pPr>
        <w:pStyle w:val="indication"/>
        <w:numPr>
          <w:ilvl w:val="0"/>
          <w:numId w:val="15"/>
        </w:numPr>
        <w:rPr>
          <w:rFonts w:hint="eastAsia"/>
        </w:rPr>
      </w:pPr>
      <w:r>
        <w:t>Description et analyse critique attendues sur :</w:t>
      </w:r>
    </w:p>
    <w:p w14:paraId="251C51BC" w14:textId="77777777" w:rsidR="006705FC" w:rsidRDefault="002E6C3A">
      <w:pPr>
        <w:pStyle w:val="indication"/>
        <w:numPr>
          <w:ilvl w:val="1"/>
          <w:numId w:val="15"/>
        </w:numPr>
        <w:rPr>
          <w:rFonts w:hint="eastAsia"/>
        </w:rPr>
      </w:pPr>
      <w:r>
        <w:t>Les modalités d’enseignement mises en place : formation en présentiel, à distance, hybride.</w:t>
      </w:r>
    </w:p>
    <w:p w14:paraId="4A786EDD" w14:textId="77777777" w:rsidR="006705FC" w:rsidRDefault="002E6C3A">
      <w:pPr>
        <w:pStyle w:val="indication"/>
        <w:numPr>
          <w:ilvl w:val="1"/>
          <w:numId w:val="15"/>
        </w:numPr>
        <w:rPr>
          <w:rFonts w:hint="eastAsia"/>
        </w:rPr>
      </w:pPr>
      <w:r>
        <w:t>Les rythmes de formation (alternance, séquences de cours groupés, cours du soir, séance de regroupement…)</w:t>
      </w:r>
    </w:p>
    <w:p w14:paraId="0941FEC3" w14:textId="77777777" w:rsidR="006705FC" w:rsidRDefault="002E6C3A">
      <w:pPr>
        <w:pStyle w:val="indication"/>
        <w:numPr>
          <w:ilvl w:val="1"/>
          <w:numId w:val="15"/>
        </w:numPr>
        <w:rPr>
          <w:rFonts w:hint="eastAsia"/>
        </w:rPr>
      </w:pPr>
      <w:r>
        <w:t>L’adaptation à un public spécifique</w:t>
      </w:r>
    </w:p>
    <w:p w14:paraId="43D73696" w14:textId="77777777" w:rsidR="006705FC" w:rsidRDefault="002E6C3A">
      <w:pPr>
        <w:pStyle w:val="indication"/>
        <w:numPr>
          <w:ilvl w:val="1"/>
          <w:numId w:val="15"/>
        </w:numPr>
        <w:rPr>
          <w:rFonts w:hint="eastAsia"/>
        </w:rPr>
      </w:pPr>
      <w:r>
        <w:t>La place du numérique dans la formation</w:t>
      </w:r>
    </w:p>
    <w:p w14:paraId="3255F7BA" w14:textId="77777777" w:rsidR="006705FC" w:rsidRDefault="006705FC">
      <w:pPr>
        <w:pStyle w:val="Standard"/>
        <w:rPr>
          <w:rFonts w:hint="eastAsia"/>
        </w:rPr>
      </w:pPr>
    </w:p>
    <w:p w14:paraId="648A90B1" w14:textId="773F5C8C" w:rsidR="006170F5" w:rsidRPr="00056D25" w:rsidRDefault="006170F5" w:rsidP="006170F5">
      <w:pPr>
        <w:pStyle w:val="Standard"/>
        <w:widowControl w:val="0"/>
        <w:tabs>
          <w:tab w:val="left" w:pos="2380"/>
          <w:tab w:val="left" w:pos="2880"/>
        </w:tabs>
        <w:overflowPunct w:val="0"/>
        <w:autoSpaceDE w:val="0"/>
        <w:rPr>
          <w:color w:val="000000"/>
        </w:rPr>
      </w:pPr>
      <w:r w:rsidRPr="00056D25">
        <w:rPr>
          <w:color w:val="000000"/>
        </w:rPr>
        <w:t>L’équipe pédagogique déterminera les modalités d’enseignement mises en place selon les avis de ses membres ainsi que de la spécificité pédagogique requise. Certains cours théoriques pourraient avoir lieu sous forme hybride (mais jamais totalement à distance), tandis q</w:t>
      </w:r>
      <w:r w:rsidR="00056D25" w:rsidRPr="00056D25">
        <w:rPr>
          <w:color w:val="000000"/>
        </w:rPr>
        <w:t>ue d’autres seront en présentiel</w:t>
      </w:r>
      <w:r w:rsidRPr="00056D25">
        <w:rPr>
          <w:color w:val="000000"/>
        </w:rPr>
        <w:t xml:space="preserve"> (comme l’expression corporelle, la communication non verbale et la simulation des débats politiques</w:t>
      </w:r>
      <w:r w:rsidR="00056D25">
        <w:rPr>
          <w:color w:val="000000"/>
        </w:rPr>
        <w:t>)</w:t>
      </w:r>
      <w:r w:rsidRPr="00056D25">
        <w:rPr>
          <w:color w:val="000000"/>
        </w:rPr>
        <w:t>.</w:t>
      </w:r>
    </w:p>
    <w:p w14:paraId="32DDB11E" w14:textId="77777777" w:rsidR="006170F5" w:rsidRPr="00056D25" w:rsidRDefault="006170F5" w:rsidP="006170F5">
      <w:pPr>
        <w:pStyle w:val="Standard"/>
        <w:widowControl w:val="0"/>
        <w:tabs>
          <w:tab w:val="left" w:pos="2380"/>
          <w:tab w:val="left" w:pos="2880"/>
        </w:tabs>
        <w:overflowPunct w:val="0"/>
        <w:autoSpaceDE w:val="0"/>
        <w:rPr>
          <w:color w:val="000000"/>
        </w:rPr>
      </w:pPr>
      <w:r w:rsidRPr="00056D25">
        <w:rPr>
          <w:color w:val="000000"/>
        </w:rPr>
        <w:t>Cette formation s’entend aussi ouverte à la formation continue, ce qui conduira à concentrer les heures de cours sur trois jours par semaine.</w:t>
      </w:r>
    </w:p>
    <w:p w14:paraId="7DE09C11" w14:textId="77777777" w:rsidR="006170F5" w:rsidRPr="00056D25" w:rsidRDefault="006170F5" w:rsidP="006170F5">
      <w:pPr>
        <w:pStyle w:val="Standard"/>
        <w:widowControl w:val="0"/>
        <w:tabs>
          <w:tab w:val="left" w:pos="2380"/>
          <w:tab w:val="left" w:pos="2880"/>
        </w:tabs>
        <w:overflowPunct w:val="0"/>
        <w:autoSpaceDE w:val="0"/>
        <w:rPr>
          <w:color w:val="000000"/>
        </w:rPr>
      </w:pPr>
      <w:r w:rsidRPr="00056D25">
        <w:rPr>
          <w:color w:val="000000"/>
        </w:rPr>
        <w:t>Il y aura aussi des master-class où des personnalités reconnues du monde politique (journaliste, juges, politiciens) viendront aborder des thématiques de recherche politique.</w:t>
      </w:r>
    </w:p>
    <w:p w14:paraId="270D6F3E" w14:textId="2CD04604" w:rsidR="006705FC" w:rsidRPr="00056D25" w:rsidRDefault="006170F5" w:rsidP="006170F5">
      <w:pPr>
        <w:pStyle w:val="Standard"/>
        <w:rPr>
          <w:rFonts w:hint="eastAsia"/>
        </w:rPr>
      </w:pPr>
      <w:r w:rsidRPr="00056D25">
        <w:rPr>
          <w:color w:val="000000"/>
        </w:rPr>
        <w:t>Le numérique est fondamental car il y a un cours spécifique concentré sur l’e-politique, à savoir l’utilisation des outils numériques dans la communication politique</w:t>
      </w:r>
    </w:p>
    <w:p w14:paraId="49715ABD" w14:textId="77777777" w:rsidR="006705FC" w:rsidRDefault="002E6C3A">
      <w:pPr>
        <w:pStyle w:val="Titre21"/>
        <w:rPr>
          <w:rFonts w:hint="eastAsia"/>
        </w:rPr>
      </w:pPr>
      <w:r>
        <w:lastRenderedPageBreak/>
        <w:t>Évaluation des étudiants, suivi de l’acquisition des compétences et délivrance du diplôme</w:t>
      </w:r>
    </w:p>
    <w:p w14:paraId="1CB2EDDD" w14:textId="77777777" w:rsidR="006705FC" w:rsidRDefault="002E6C3A">
      <w:pPr>
        <w:pStyle w:val="indication"/>
        <w:numPr>
          <w:ilvl w:val="0"/>
          <w:numId w:val="16"/>
        </w:numPr>
        <w:rPr>
          <w:rFonts w:hint="eastAsia"/>
        </w:rPr>
      </w:pPr>
      <w:r>
        <w:t>Les règles de délivrance du diplôme</w:t>
      </w:r>
    </w:p>
    <w:p w14:paraId="175BEBAA" w14:textId="77777777" w:rsidR="006705FC" w:rsidRDefault="002E6C3A">
      <w:pPr>
        <w:pStyle w:val="indication"/>
        <w:numPr>
          <w:ilvl w:val="0"/>
          <w:numId w:val="16"/>
        </w:numPr>
        <w:rPr>
          <w:rFonts w:hint="eastAsia"/>
        </w:rPr>
      </w:pPr>
      <w:r>
        <w:t>Y a-t-il un suivi des compétences acquises par l’étudiant ? si oui, sous quelle forme ? (annexe descriptive au diplôme ou supplément au diplôme, le portefeuille de compétences, livret de l’étudiant, …)</w:t>
      </w:r>
    </w:p>
    <w:p w14:paraId="3C6C8AF6" w14:textId="77777777" w:rsidR="006705FC" w:rsidRDefault="002E6C3A">
      <w:pPr>
        <w:pStyle w:val="indication"/>
        <w:numPr>
          <w:ilvl w:val="0"/>
          <w:numId w:val="16"/>
        </w:numPr>
        <w:rPr>
          <w:rFonts w:hint="eastAsia"/>
        </w:rPr>
      </w:pPr>
      <w:r>
        <w:t>Les modalités de contrôle des connaissances seront fournies en annexe 3.</w:t>
      </w:r>
    </w:p>
    <w:p w14:paraId="2B1BCDAB" w14:textId="77777777" w:rsidR="006705FC" w:rsidRDefault="006705FC">
      <w:pPr>
        <w:pStyle w:val="indication"/>
        <w:rPr>
          <w:rFonts w:hint="eastAsia"/>
        </w:rPr>
      </w:pPr>
    </w:p>
    <w:p w14:paraId="25F80F87" w14:textId="0C774C99" w:rsidR="006170F5" w:rsidRDefault="006170F5" w:rsidP="006170F5">
      <w:pPr>
        <w:pStyle w:val="Standard"/>
      </w:pPr>
      <w:r>
        <w:t xml:space="preserve">Le diplôme sera livré selon les modalités en vigueur: examens + </w:t>
      </w:r>
      <w:r w:rsidR="00056D25">
        <w:t>preuve pratique du projet multidisciplinaire</w:t>
      </w:r>
      <w:r>
        <w:t xml:space="preserve"> + rapport de stage.</w:t>
      </w:r>
    </w:p>
    <w:p w14:paraId="64ADEBD7" w14:textId="67BBAD66" w:rsidR="006705FC" w:rsidRDefault="006705FC">
      <w:pPr>
        <w:pStyle w:val="Standard"/>
        <w:rPr>
          <w:rFonts w:hint="eastAsia"/>
        </w:rPr>
      </w:pPr>
    </w:p>
    <w:p w14:paraId="7F3D8552" w14:textId="77777777" w:rsidR="006705FC" w:rsidRDefault="002E6C3A">
      <w:pPr>
        <w:pStyle w:val="Titre21"/>
        <w:rPr>
          <w:rFonts w:hint="eastAsia"/>
        </w:rPr>
      </w:pPr>
      <w:r>
        <w:t>Procédure d’autoévaluation</w:t>
      </w:r>
    </w:p>
    <w:p w14:paraId="7630A268" w14:textId="77777777" w:rsidR="006705FC" w:rsidRDefault="002E6C3A">
      <w:pPr>
        <w:pStyle w:val="indication"/>
        <w:numPr>
          <w:ilvl w:val="0"/>
          <w:numId w:val="17"/>
        </w:numPr>
        <w:rPr>
          <w:rFonts w:hint="eastAsia"/>
        </w:rPr>
      </w:pPr>
      <w:r>
        <w:t>Les modalités de l’autoévaluation de la formation et des enseignements par les étudiants</w:t>
      </w:r>
    </w:p>
    <w:p w14:paraId="42D3674B" w14:textId="77777777" w:rsidR="006705FC" w:rsidRDefault="002E6C3A">
      <w:pPr>
        <w:pStyle w:val="indication"/>
        <w:numPr>
          <w:ilvl w:val="0"/>
          <w:numId w:val="17"/>
        </w:numPr>
        <w:rPr>
          <w:rFonts w:hint="eastAsia"/>
        </w:rPr>
      </w:pPr>
      <w:r>
        <w:t>Analyse critique de cette évaluation et des leçons qui ont pu en être tirées.</w:t>
      </w:r>
    </w:p>
    <w:p w14:paraId="432E774C" w14:textId="77777777" w:rsidR="006705FC" w:rsidRDefault="006705FC">
      <w:pPr>
        <w:pStyle w:val="indication"/>
        <w:rPr>
          <w:rFonts w:hint="eastAsia"/>
        </w:rPr>
      </w:pPr>
    </w:p>
    <w:p w14:paraId="0AA92434" w14:textId="4F827315" w:rsidR="006170F5" w:rsidRDefault="006170F5" w:rsidP="006170F5">
      <w:pPr>
        <w:pStyle w:val="Standard"/>
      </w:pPr>
      <w:r>
        <w:t xml:space="preserve">Touts les cours seront évalués par les </w:t>
      </w:r>
      <w:r w:rsidR="00056D25">
        <w:t>étudiants</w:t>
      </w:r>
      <w:r>
        <w:t xml:space="preserve"> et les résultats seront analysés par l ‘équipe pédagogique afin de corriger les éventuelles lacunes et valoriser les bonnes pratiques.</w:t>
      </w:r>
    </w:p>
    <w:p w14:paraId="68A36A49" w14:textId="7F6CC406" w:rsidR="006705FC" w:rsidRDefault="006705FC">
      <w:pPr>
        <w:pStyle w:val="Standard"/>
        <w:rPr>
          <w:rFonts w:hint="eastAsia"/>
        </w:rPr>
      </w:pPr>
    </w:p>
    <w:p w14:paraId="60315DE4" w14:textId="77777777" w:rsidR="006705FC" w:rsidRDefault="002E6C3A">
      <w:pPr>
        <w:pStyle w:val="Titre21"/>
        <w:rPr>
          <w:rFonts w:hint="eastAsia"/>
        </w:rPr>
      </w:pPr>
      <w:r>
        <w:t>Partenariats</w:t>
      </w:r>
    </w:p>
    <w:p w14:paraId="60EBD8D4" w14:textId="77777777" w:rsidR="006705FC" w:rsidRDefault="002E6C3A">
      <w:pPr>
        <w:pStyle w:val="indication"/>
        <w:numPr>
          <w:ilvl w:val="0"/>
          <w:numId w:val="18"/>
        </w:numPr>
        <w:rPr>
          <w:rFonts w:hint="eastAsia"/>
        </w:rPr>
      </w:pPr>
      <w:r>
        <w:t>Préciser les partenariats</w:t>
      </w:r>
      <w:r>
        <w:rPr>
          <w:rStyle w:val="Appelnotedebasdep1"/>
        </w:rPr>
        <w:footnoteReference w:id="1"/>
      </w:r>
      <w:r>
        <w:t xml:space="preserve"> participant à la mise en place de la formation et leurs modalités.</w:t>
      </w:r>
    </w:p>
    <w:p w14:paraId="52EA3786" w14:textId="77777777" w:rsidR="006705FC" w:rsidRDefault="002E6C3A">
      <w:pPr>
        <w:pStyle w:val="indication"/>
        <w:numPr>
          <w:ilvl w:val="0"/>
          <w:numId w:val="18"/>
        </w:numPr>
        <w:rPr>
          <w:rFonts w:hint="eastAsia"/>
        </w:rPr>
      </w:pPr>
      <w:r>
        <w:t>Analyse critique de leur évolution et de leur valeur ajoutée.</w:t>
      </w:r>
    </w:p>
    <w:p w14:paraId="7E60E8D7" w14:textId="77777777" w:rsidR="006705FC" w:rsidRDefault="006705FC">
      <w:pPr>
        <w:pStyle w:val="indication"/>
        <w:rPr>
          <w:rFonts w:hint="eastAsia"/>
        </w:rPr>
      </w:pPr>
    </w:p>
    <w:p w14:paraId="0B772DDD" w14:textId="5780ADC2" w:rsidR="006170F5" w:rsidRDefault="006170F5" w:rsidP="006170F5">
      <w:pPr>
        <w:pStyle w:val="Standard"/>
      </w:pPr>
      <w:r>
        <w:t>Ce</w:t>
      </w:r>
      <w:r w:rsidR="00056D25">
        <w:t>tte formation</w:t>
      </w:r>
      <w:r>
        <w:t>, fruit d’une réflexion de presque cinq ans, a été bâti en dialogue permanent avec la Ville de Cannes, le Conseil Général et la Métropole de Nice.</w:t>
      </w:r>
    </w:p>
    <w:p w14:paraId="66D18626" w14:textId="14408D3E" w:rsidR="006705FC" w:rsidRDefault="006705FC">
      <w:pPr>
        <w:pStyle w:val="Standard"/>
        <w:rPr>
          <w:rFonts w:hint="eastAsia"/>
        </w:rPr>
      </w:pPr>
    </w:p>
    <w:p w14:paraId="0F145E5D" w14:textId="77777777" w:rsidR="006705FC" w:rsidRDefault="002E6C3A">
      <w:pPr>
        <w:pStyle w:val="Titre21"/>
        <w:rPr>
          <w:rFonts w:hint="eastAsia"/>
        </w:rPr>
      </w:pPr>
      <w:r>
        <w:t>Modèle économique</w:t>
      </w:r>
    </w:p>
    <w:p w14:paraId="1B74C13F" w14:textId="77777777" w:rsidR="006705FC" w:rsidRDefault="002E6C3A">
      <w:pPr>
        <w:pStyle w:val="indication"/>
        <w:numPr>
          <w:ilvl w:val="0"/>
          <w:numId w:val="19"/>
        </w:numPr>
        <w:rPr>
          <w:rFonts w:hint="eastAsia"/>
        </w:rPr>
      </w:pPr>
      <w:r>
        <w:t>L’annexe financière sera fournie en annexe 5</w:t>
      </w:r>
    </w:p>
    <w:p w14:paraId="69264ED9" w14:textId="77777777" w:rsidR="006705FC" w:rsidRDefault="006705FC">
      <w:pPr>
        <w:pStyle w:val="indication"/>
        <w:rPr>
          <w:rFonts w:hint="eastAsia"/>
        </w:rPr>
      </w:pPr>
    </w:p>
    <w:p w14:paraId="7DABC72D" w14:textId="7E1C460B" w:rsidR="006705FC" w:rsidRDefault="00056D25">
      <w:pPr>
        <w:pStyle w:val="Standard"/>
      </w:pPr>
      <w:r>
        <w:t>Droits d</w:t>
      </w:r>
      <w:r>
        <w:rPr>
          <w:rFonts w:hint="eastAsia"/>
        </w:rPr>
        <w:t>’</w:t>
      </w:r>
      <w:r>
        <w:t>inscription</w:t>
      </w:r>
      <w:r>
        <w:rPr>
          <w:rFonts w:hint="eastAsia"/>
        </w:rPr>
        <w:t> </w:t>
      </w:r>
      <w:r>
        <w:t>: 2000€(étudiant)/4500€ (entreprise).</w:t>
      </w:r>
    </w:p>
    <w:p w14:paraId="7C92BC9B" w14:textId="374B188A" w:rsidR="00056D25" w:rsidRDefault="00056D25">
      <w:pPr>
        <w:pStyle w:val="Standard"/>
      </w:pPr>
      <w:r>
        <w:t>A partir de 8 étudiants, la formation est autofinancé.</w:t>
      </w:r>
    </w:p>
    <w:p w14:paraId="1DB802AB" w14:textId="166DCB7C" w:rsidR="00056D25" w:rsidRDefault="00056D25">
      <w:pPr>
        <w:pStyle w:val="Standard"/>
        <w:rPr>
          <w:rFonts w:hint="eastAsia"/>
        </w:rPr>
      </w:pPr>
      <w:r>
        <w:t>L</w:t>
      </w:r>
      <w:r>
        <w:rPr>
          <w:rFonts w:hint="eastAsia"/>
        </w:rPr>
        <w:t>’</w:t>
      </w:r>
      <w:r>
        <w:t>annexe 5 continet les données financières</w:t>
      </w:r>
      <w:bookmarkStart w:id="0" w:name="_GoBack"/>
      <w:bookmarkEnd w:id="0"/>
    </w:p>
    <w:p w14:paraId="4204FC37" w14:textId="77777777" w:rsidR="006705FC" w:rsidRDefault="006705FC">
      <w:pPr>
        <w:pStyle w:val="Standard"/>
        <w:rPr>
          <w:rFonts w:hint="eastAsia"/>
        </w:rPr>
      </w:pPr>
    </w:p>
    <w:p w14:paraId="544C8EFD" w14:textId="77777777" w:rsidR="006705FC" w:rsidRDefault="006705FC">
      <w:pPr>
        <w:pStyle w:val="Standard"/>
        <w:rPr>
          <w:rFonts w:hint="eastAsia"/>
        </w:rPr>
      </w:pPr>
    </w:p>
    <w:p w14:paraId="181664EB" w14:textId="77777777" w:rsidR="006705FC" w:rsidRDefault="002E6C3A">
      <w:pPr>
        <w:pStyle w:val="Titre11"/>
        <w:rPr>
          <w:rFonts w:hint="eastAsia"/>
        </w:rPr>
      </w:pPr>
      <w:r>
        <w:t>Suivi de la formation</w:t>
      </w:r>
    </w:p>
    <w:p w14:paraId="2E2A3927" w14:textId="77777777" w:rsidR="006705FC" w:rsidRDefault="006705FC">
      <w:pPr>
        <w:pStyle w:val="Textbody"/>
        <w:rPr>
          <w:rFonts w:hint="eastAsia"/>
        </w:rPr>
      </w:pPr>
    </w:p>
    <w:tbl>
      <w:tblPr>
        <w:tblW w:w="10092" w:type="dxa"/>
        <w:tblLayout w:type="fixed"/>
        <w:tblCellMar>
          <w:left w:w="10" w:type="dxa"/>
          <w:right w:w="10" w:type="dxa"/>
        </w:tblCellMar>
        <w:tblLook w:val="0000" w:firstRow="0" w:lastRow="0" w:firstColumn="0" w:lastColumn="0" w:noHBand="0" w:noVBand="0"/>
      </w:tblPr>
      <w:tblGrid>
        <w:gridCol w:w="1705"/>
        <w:gridCol w:w="8387"/>
      </w:tblGrid>
      <w:tr w:rsidR="006705FC" w14:paraId="3C4D2E6E" w14:textId="77777777">
        <w:tc>
          <w:tcPr>
            <w:tcW w:w="1705"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24DF6656" w14:textId="77777777" w:rsidR="006705FC" w:rsidRDefault="002E6C3A">
            <w:pPr>
              <w:pStyle w:val="TableContents"/>
              <w:jc w:val="center"/>
              <w:rPr>
                <w:rFonts w:hint="eastAsia"/>
                <w:b/>
                <w:bCs/>
              </w:rPr>
            </w:pPr>
            <w:r>
              <w:rPr>
                <w:b/>
                <w:bCs/>
              </w:rPr>
              <w:t>Date</w:t>
            </w:r>
          </w:p>
        </w:tc>
        <w:tc>
          <w:tcPr>
            <w:tcW w:w="8387"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965AA90" w14:textId="77777777" w:rsidR="006705FC" w:rsidRDefault="002E6C3A">
            <w:pPr>
              <w:pStyle w:val="TableContents"/>
              <w:jc w:val="center"/>
              <w:rPr>
                <w:rFonts w:hint="eastAsia"/>
                <w:b/>
                <w:bCs/>
              </w:rPr>
            </w:pPr>
            <w:r>
              <w:rPr>
                <w:b/>
                <w:bCs/>
              </w:rPr>
              <w:t>Descriptif de l’événement</w:t>
            </w:r>
          </w:p>
        </w:tc>
      </w:tr>
      <w:tr w:rsidR="006705FC" w14:paraId="09976FDA" w14:textId="77777777">
        <w:tc>
          <w:tcPr>
            <w:tcW w:w="1705" w:type="dxa"/>
            <w:tcBorders>
              <w:left w:val="single" w:sz="2" w:space="0" w:color="000000"/>
              <w:bottom w:val="single" w:sz="2" w:space="0" w:color="000000"/>
            </w:tcBorders>
            <w:shd w:val="clear" w:color="auto" w:fill="auto"/>
            <w:tcMar>
              <w:top w:w="55" w:type="dxa"/>
              <w:left w:w="55" w:type="dxa"/>
              <w:bottom w:w="55" w:type="dxa"/>
              <w:right w:w="55" w:type="dxa"/>
            </w:tcMar>
          </w:tcPr>
          <w:p w14:paraId="77FAFCD0" w14:textId="77777777" w:rsidR="006705FC" w:rsidRDefault="006705FC">
            <w:pPr>
              <w:pStyle w:val="TableContents"/>
              <w:rPr>
                <w:rFonts w:hint="eastAsia"/>
              </w:rPr>
            </w:pPr>
          </w:p>
        </w:tc>
        <w:tc>
          <w:tcPr>
            <w:tcW w:w="838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2C1A302" w14:textId="77777777" w:rsidR="006705FC" w:rsidRDefault="002E6C3A">
            <w:pPr>
              <w:pStyle w:val="TableContents"/>
              <w:rPr>
                <w:rFonts w:hint="eastAsia"/>
              </w:rPr>
            </w:pPr>
            <w:r>
              <w:t>Date de création</w:t>
            </w:r>
          </w:p>
        </w:tc>
      </w:tr>
      <w:tr w:rsidR="006705FC" w14:paraId="44C132CC" w14:textId="77777777">
        <w:tc>
          <w:tcPr>
            <w:tcW w:w="1705" w:type="dxa"/>
            <w:tcBorders>
              <w:left w:val="single" w:sz="2" w:space="0" w:color="000000"/>
              <w:bottom w:val="single" w:sz="2" w:space="0" w:color="000000"/>
            </w:tcBorders>
            <w:shd w:val="clear" w:color="auto" w:fill="auto"/>
            <w:tcMar>
              <w:top w:w="55" w:type="dxa"/>
              <w:left w:w="55" w:type="dxa"/>
              <w:bottom w:w="55" w:type="dxa"/>
              <w:right w:w="55" w:type="dxa"/>
            </w:tcMar>
          </w:tcPr>
          <w:p w14:paraId="11AAB5DF" w14:textId="77777777" w:rsidR="006705FC" w:rsidRDefault="006705FC">
            <w:pPr>
              <w:pStyle w:val="TableContents"/>
              <w:rPr>
                <w:rFonts w:hint="eastAsia"/>
              </w:rPr>
            </w:pPr>
          </w:p>
        </w:tc>
        <w:tc>
          <w:tcPr>
            <w:tcW w:w="8387"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D0FDDEA" w14:textId="77777777" w:rsidR="006705FC" w:rsidRDefault="006705FC">
            <w:pPr>
              <w:pStyle w:val="TableContents"/>
              <w:rPr>
                <w:rFonts w:hint="eastAsia"/>
              </w:rPr>
            </w:pPr>
          </w:p>
        </w:tc>
      </w:tr>
    </w:tbl>
    <w:p w14:paraId="42C69F51" w14:textId="77777777" w:rsidR="006705FC" w:rsidRDefault="006705FC">
      <w:pPr>
        <w:pStyle w:val="Textbody"/>
        <w:rPr>
          <w:rFonts w:hint="eastAsia"/>
        </w:rPr>
      </w:pPr>
    </w:p>
    <w:p w14:paraId="58DAACC8" w14:textId="77777777" w:rsidR="006705FC" w:rsidRDefault="006705FC">
      <w:pPr>
        <w:pStyle w:val="Textbody"/>
        <w:rPr>
          <w:rFonts w:hint="eastAsia"/>
        </w:rPr>
      </w:pPr>
    </w:p>
    <w:sectPr w:rsidR="006705FC">
      <w:headerReference w:type="default" r:id="rId8"/>
      <w:pgSz w:w="11906" w:h="16838"/>
      <w:pgMar w:top="964" w:right="907" w:bottom="822" w:left="907"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C8DC7F" w14:textId="77777777" w:rsidR="00841574" w:rsidRDefault="00841574">
      <w:pPr>
        <w:rPr>
          <w:rFonts w:hint="eastAsia"/>
        </w:rPr>
      </w:pPr>
      <w:r>
        <w:separator/>
      </w:r>
    </w:p>
  </w:endnote>
  <w:endnote w:type="continuationSeparator" w:id="0">
    <w:p w14:paraId="487FCFDE" w14:textId="77777777" w:rsidR="00841574" w:rsidRDefault="00841574">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OpenSymbol">
    <w:altName w:val="Calibri"/>
    <w:charset w:val="02"/>
    <w:family w:val="auto"/>
    <w:pitch w:val="default"/>
  </w:font>
  <w:font w:name="Liberation Serif">
    <w:altName w:val="Times New Roman"/>
    <w:charset w:val="00"/>
    <w:family w:val="roman"/>
    <w:pitch w:val="variable"/>
  </w:font>
  <w:font w:name="Arial Unicode MS">
    <w:panose1 w:val="020B0604020202020204"/>
    <w:charset w:val="00"/>
    <w:family w:val="auto"/>
    <w:pitch w:val="variable"/>
    <w:sig w:usb0="F7FFAFFF" w:usb1="E9DFFFFF" w:usb2="0000003F" w:usb3="00000000" w:csb0="003F01FF" w:csb1="00000000"/>
  </w:font>
  <w:font w:name="Times New Roman">
    <w:panose1 w:val="02020603050405020304"/>
    <w:charset w:val="00"/>
    <w:family w:val="auto"/>
    <w:pitch w:val="variable"/>
    <w:sig w:usb0="E0002AEF" w:usb1="C0007841" w:usb2="00000009" w:usb3="00000000" w:csb0="000001FF" w:csb1="00000000"/>
  </w:font>
  <w:font w:name="Liberation Sans">
    <w:altName w:val="Arial"/>
    <w:charset w:val="00"/>
    <w:family w:val="swiss"/>
    <w:pitch w:val="variable"/>
  </w:font>
  <w:font w:name="Mangal">
    <w:panose1 w:val="02040503050203030202"/>
    <w:charset w:val="00"/>
    <w:family w:val="auto"/>
    <w:pitch w:val="variable"/>
    <w:sig w:usb0="00008003" w:usb1="00000000" w:usb2="00000000" w:usb3="00000000" w:csb0="00000001" w:csb1="00000000"/>
  </w:font>
  <w:font w:name="Segoe UI">
    <w:charset w:val="00"/>
    <w:family w:val="swiss"/>
    <w:pitch w:val="variable"/>
    <w:sig w:usb0="E10022FF" w:usb1="C000E47F" w:usb2="00000029" w:usb3="00000000" w:csb0="000001DF" w:csb1="00000000"/>
  </w:font>
  <w:font w:name="Arial Rounded MT Bold">
    <w:panose1 w:val="020F070403050403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游ゴシック Light">
    <w:charset w:val="80"/>
    <w:family w:val="auto"/>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19F" w:csb1="00000000"/>
  </w:font>
  <w:font w:name="游明朝">
    <w:charset w:val="80"/>
    <w:family w:val="auto"/>
    <w:pitch w:val="variable"/>
    <w:sig w:usb0="800002E7" w:usb1="2AC7FCFF"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3B75C9" w14:textId="77777777" w:rsidR="00841574" w:rsidRDefault="00841574">
      <w:pPr>
        <w:rPr>
          <w:rFonts w:hint="eastAsia"/>
        </w:rPr>
      </w:pPr>
      <w:r>
        <w:rPr>
          <w:color w:val="000000"/>
        </w:rPr>
        <w:separator/>
      </w:r>
    </w:p>
  </w:footnote>
  <w:footnote w:type="continuationSeparator" w:id="0">
    <w:p w14:paraId="30A3FEDB" w14:textId="77777777" w:rsidR="00841574" w:rsidRDefault="00841574">
      <w:pPr>
        <w:rPr>
          <w:rFonts w:hint="eastAsia"/>
        </w:rPr>
      </w:pPr>
      <w:r>
        <w:continuationSeparator/>
      </w:r>
    </w:p>
  </w:footnote>
  <w:footnote w:id="1">
    <w:p w14:paraId="5DE39859" w14:textId="77777777" w:rsidR="006705FC" w:rsidRDefault="002E6C3A">
      <w:pPr>
        <w:pStyle w:val="Footnote"/>
        <w:rPr>
          <w:rFonts w:hint="eastAsia"/>
        </w:rPr>
      </w:pPr>
      <w:r>
        <w:rPr>
          <w:rStyle w:val="Appelnotedebasdep"/>
        </w:rPr>
        <w:footnoteRef/>
      </w:r>
      <w:r>
        <w:t>laboratoires, écoles doctorales, autres établissements de formation, entreprises, associations</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5F8AC1" w14:textId="77777777" w:rsidR="00902A41" w:rsidRDefault="002E6C3A">
    <w:pPr>
      <w:pStyle w:val="En-tte1"/>
      <w:rPr>
        <w:rFonts w:hint="eastAsia"/>
      </w:rPr>
    </w:pPr>
    <w:r>
      <w:rPr>
        <w:rStyle w:val="Policepardfaut1"/>
        <w:noProof/>
        <w:lang w:eastAsia="fr-FR" w:bidi="ar-SA"/>
      </w:rPr>
      <w:drawing>
        <wp:anchor distT="0" distB="0" distL="114300" distR="114300" simplePos="0" relativeHeight="251659264" behindDoc="0" locked="0" layoutInCell="1" allowOverlap="1" wp14:anchorId="25B23230" wp14:editId="403C21A5">
          <wp:simplePos x="0" y="0"/>
          <wp:positionH relativeFrom="column">
            <wp:posOffset>-4443</wp:posOffset>
          </wp:positionH>
          <wp:positionV relativeFrom="paragraph">
            <wp:posOffset>0</wp:posOffset>
          </wp:positionV>
          <wp:extent cx="2877817" cy="333371"/>
          <wp:effectExtent l="0" t="0" r="0" b="0"/>
          <wp:wrapSquare wrapText="bothSides"/>
          <wp:docPr id="1" name="Image 2" descr="http://univ-cotedazur.fr/fr/contents/images/uca-logo-ligne/image_full"/>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2877817" cy="333371"/>
                  </a:xfrm>
                  <a:prstGeom prst="rect">
                    <a:avLst/>
                  </a:prstGeom>
                  <a:noFill/>
                  <a:ln>
                    <a:noFill/>
                    <a:prstDash/>
                  </a:ln>
                </pic:spPr>
              </pic:pic>
            </a:graphicData>
          </a:graphic>
        </wp:anchor>
      </w:drawing>
    </w:r>
  </w:p>
  <w:p w14:paraId="745ADBBC" w14:textId="77777777" w:rsidR="00902A41" w:rsidRDefault="002E6C3A">
    <w:pPr>
      <w:pStyle w:val="En-tte1"/>
      <w:jc w:val="right"/>
      <w:rPr>
        <w:rFonts w:hint="eastAsia"/>
      </w:rPr>
    </w:pPr>
    <w:r>
      <w:t>Fiche de vie des DU et DIU</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8B4DFA"/>
    <w:multiLevelType w:val="multilevel"/>
    <w:tmpl w:val="543C0BE4"/>
    <w:styleLink w:val="WWOutlineListStyle4"/>
    <w:lvl w:ilvl="0">
      <w:start w:val="1"/>
      <w:numFmt w:val="decimal"/>
      <w:lvlText w:val="%1"/>
      <w:lvlJc w:val="left"/>
      <w:pPr>
        <w:ind w:left="432" w:hanging="432"/>
      </w:pPr>
    </w:lvl>
    <w:lvl w:ilvl="1">
      <w:start w:val="1"/>
      <w:numFmt w:val="decimal"/>
      <w:lvlText w:val="%1.%2"/>
      <w:lvlJc w:val="left"/>
      <w:pPr>
        <w:ind w:left="576" w:hanging="576"/>
      </w:p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
    <w:nsid w:val="0F351353"/>
    <w:multiLevelType w:val="multilevel"/>
    <w:tmpl w:val="F6500302"/>
    <w:styleLink w:val="Outlin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none"/>
      <w:lvlText w:val="%4"/>
      <w:lvlJc w:val="left"/>
      <w:pPr>
        <w:ind w:left="864" w:hanging="864"/>
      </w:pPr>
    </w:lvl>
    <w:lvl w:ilvl="4">
      <w:start w:val="1"/>
      <w:numFmt w:val="none"/>
      <w:lvlText w:val="%5"/>
      <w:lvlJc w:val="left"/>
      <w:pPr>
        <w:ind w:left="1008" w:hanging="1008"/>
      </w:pPr>
    </w:lvl>
    <w:lvl w:ilvl="5">
      <w:start w:val="1"/>
      <w:numFmt w:val="none"/>
      <w:lvlText w:val="%6"/>
      <w:lvlJc w:val="left"/>
      <w:pPr>
        <w:ind w:left="1152" w:hanging="1152"/>
      </w:pPr>
    </w:lvl>
    <w:lvl w:ilvl="6">
      <w:start w:val="1"/>
      <w:numFmt w:val="none"/>
      <w:lvlText w:val="%7"/>
      <w:lvlJc w:val="left"/>
      <w:pPr>
        <w:ind w:left="1296" w:hanging="1296"/>
      </w:pPr>
    </w:lvl>
    <w:lvl w:ilvl="7">
      <w:start w:val="1"/>
      <w:numFmt w:val="none"/>
      <w:lvlText w:val="%8"/>
      <w:lvlJc w:val="left"/>
      <w:pPr>
        <w:ind w:left="1440" w:hanging="1440"/>
      </w:pPr>
    </w:lvl>
    <w:lvl w:ilvl="8">
      <w:start w:val="1"/>
      <w:numFmt w:val="none"/>
      <w:lvlText w:val="%9"/>
      <w:lvlJc w:val="left"/>
      <w:pPr>
        <w:ind w:left="1584" w:hanging="1584"/>
      </w:pPr>
    </w:lvl>
  </w:abstractNum>
  <w:abstractNum w:abstractNumId="2">
    <w:nsid w:val="11EC4504"/>
    <w:multiLevelType w:val="multilevel"/>
    <w:tmpl w:val="D70EE296"/>
    <w:lvl w:ilvl="0">
      <w:numFmt w:val="bullet"/>
      <w:lvlText w:val="•"/>
      <w:lvlJc w:val="left"/>
      <w:pPr>
        <w:ind w:left="720"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
    <w:nsid w:val="19837E0B"/>
    <w:multiLevelType w:val="multilevel"/>
    <w:tmpl w:val="7B42376A"/>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4">
    <w:nsid w:val="1D0D2127"/>
    <w:multiLevelType w:val="multilevel"/>
    <w:tmpl w:val="310AD596"/>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5">
    <w:nsid w:val="25E85C71"/>
    <w:multiLevelType w:val="multilevel"/>
    <w:tmpl w:val="41D6394E"/>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6">
    <w:nsid w:val="2DC927DD"/>
    <w:multiLevelType w:val="multilevel"/>
    <w:tmpl w:val="0952F978"/>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7">
    <w:nsid w:val="36046357"/>
    <w:multiLevelType w:val="multilevel"/>
    <w:tmpl w:val="B25E771E"/>
    <w:styleLink w:val="WWOutlineListStyle5"/>
    <w:lvl w:ilvl="0">
      <w:start w:val="1"/>
      <w:numFmt w:val="decimal"/>
      <w:pStyle w:val="Titre11"/>
      <w:lvlText w:val="%1"/>
      <w:lvlJc w:val="left"/>
      <w:pPr>
        <w:ind w:left="432" w:hanging="432"/>
      </w:pPr>
    </w:lvl>
    <w:lvl w:ilvl="1">
      <w:start w:val="1"/>
      <w:numFmt w:val="decimal"/>
      <w:pStyle w:val="Titre21"/>
      <w:lvlText w:val="%1.%2"/>
      <w:lvlJc w:val="left"/>
      <w:pPr>
        <w:ind w:left="576" w:hanging="576"/>
      </w:p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nsid w:val="3E8531C6"/>
    <w:multiLevelType w:val="multilevel"/>
    <w:tmpl w:val="7E585A52"/>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9">
    <w:nsid w:val="4DD10B54"/>
    <w:multiLevelType w:val="multilevel"/>
    <w:tmpl w:val="86CA7054"/>
    <w:styleLink w:val="WWOutlineListStyle1"/>
    <w:lvl w:ilvl="0">
      <w:start w:val="1"/>
      <w:numFmt w:val="decimal"/>
      <w:lvlText w:val="%1"/>
      <w:lvlJc w:val="left"/>
      <w:pPr>
        <w:ind w:left="432" w:hanging="432"/>
      </w:pPr>
    </w:lvl>
    <w:lvl w:ilvl="1">
      <w:start w:val="1"/>
      <w:numFmt w:val="decimal"/>
      <w:lvlText w:val="%1.%2"/>
      <w:lvlJc w:val="left"/>
      <w:pPr>
        <w:ind w:left="576" w:hanging="576"/>
      </w:p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0">
    <w:nsid w:val="54B9100A"/>
    <w:multiLevelType w:val="multilevel"/>
    <w:tmpl w:val="1270C44E"/>
    <w:lvl w:ilvl="0">
      <w:numFmt w:val="bullet"/>
      <w:lvlText w:val="•"/>
      <w:lvlJc w:val="left"/>
      <w:pPr>
        <w:ind w:left="720" w:hanging="360"/>
      </w:pPr>
    </w:lvl>
    <w:lvl w:ilvl="1">
      <w:numFmt w:val="bullet"/>
      <w:lvlText w:val="◦"/>
      <w:lvlJc w:val="left"/>
      <w:pPr>
        <w:ind w:left="1080" w:hanging="360"/>
      </w:p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nsid w:val="55D16EEE"/>
    <w:multiLevelType w:val="multilevel"/>
    <w:tmpl w:val="E8FCAF2C"/>
    <w:styleLink w:val="WWOutlineListStyle3"/>
    <w:lvl w:ilvl="0">
      <w:start w:val="1"/>
      <w:numFmt w:val="decimal"/>
      <w:lvlText w:val="%1"/>
      <w:lvlJc w:val="left"/>
      <w:pPr>
        <w:ind w:left="432" w:hanging="432"/>
      </w:pPr>
    </w:lvl>
    <w:lvl w:ilvl="1">
      <w:start w:val="1"/>
      <w:numFmt w:val="decimal"/>
      <w:lvlText w:val="%1.%2"/>
      <w:lvlJc w:val="left"/>
      <w:pPr>
        <w:ind w:left="576" w:hanging="576"/>
      </w:p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nsid w:val="58305EEE"/>
    <w:multiLevelType w:val="multilevel"/>
    <w:tmpl w:val="3BA0C2B2"/>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3">
    <w:nsid w:val="59085EEA"/>
    <w:multiLevelType w:val="multilevel"/>
    <w:tmpl w:val="EED284AE"/>
    <w:styleLink w:val="WWOutlineListStyle2"/>
    <w:lvl w:ilvl="0">
      <w:start w:val="1"/>
      <w:numFmt w:val="decimal"/>
      <w:lvlText w:val="%1"/>
      <w:lvlJc w:val="left"/>
      <w:pPr>
        <w:ind w:left="432" w:hanging="432"/>
      </w:pPr>
    </w:lvl>
    <w:lvl w:ilvl="1">
      <w:start w:val="1"/>
      <w:numFmt w:val="decimal"/>
      <w:lvlText w:val="%1.%2"/>
      <w:lvlJc w:val="left"/>
      <w:pPr>
        <w:ind w:left="576" w:hanging="576"/>
      </w:p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
    <w:nsid w:val="5F7D01FA"/>
    <w:multiLevelType w:val="multilevel"/>
    <w:tmpl w:val="091A72E2"/>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5">
    <w:nsid w:val="62570064"/>
    <w:multiLevelType w:val="multilevel"/>
    <w:tmpl w:val="648E3984"/>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6">
    <w:nsid w:val="639478CB"/>
    <w:multiLevelType w:val="multilevel"/>
    <w:tmpl w:val="A378E1C6"/>
    <w:styleLink w:val="WWOutlineListStyle"/>
    <w:lvl w:ilvl="0">
      <w:start w:val="1"/>
      <w:numFmt w:val="decimal"/>
      <w:lvlText w:val="%1"/>
      <w:lvlJc w:val="left"/>
      <w:pPr>
        <w:ind w:left="432" w:hanging="432"/>
      </w:pPr>
    </w:lvl>
    <w:lvl w:ilvl="1">
      <w:start w:val="1"/>
      <w:numFmt w:val="decimal"/>
      <w:lvlText w:val="%1.%2"/>
      <w:lvlJc w:val="left"/>
      <w:pPr>
        <w:ind w:left="576" w:hanging="576"/>
      </w:pPr>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7">
    <w:nsid w:val="677F434D"/>
    <w:multiLevelType w:val="multilevel"/>
    <w:tmpl w:val="41C81FD2"/>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8">
    <w:nsid w:val="6798720D"/>
    <w:multiLevelType w:val="multilevel"/>
    <w:tmpl w:val="6EE48C54"/>
    <w:styleLink w:val="WW8Num11"/>
    <w:lvl w:ilvl="0">
      <w:numFmt w:val="bullet"/>
      <w:lvlText w:val=""/>
      <w:lvlJc w:val="left"/>
      <w:pPr>
        <w:ind w:left="1287"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nsid w:val="69E66FBD"/>
    <w:multiLevelType w:val="multilevel"/>
    <w:tmpl w:val="D89669C0"/>
    <w:styleLink w:val="WW8Num6"/>
    <w:lvl w:ilvl="0">
      <w:numFmt w:val="bullet"/>
      <w:lvlText w:val=""/>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nsid w:val="6F1A18EB"/>
    <w:multiLevelType w:val="multilevel"/>
    <w:tmpl w:val="489CE9B8"/>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num w:numId="1">
    <w:abstractNumId w:val="7"/>
  </w:num>
  <w:num w:numId="2">
    <w:abstractNumId w:val="0"/>
  </w:num>
  <w:num w:numId="3">
    <w:abstractNumId w:val="11"/>
  </w:num>
  <w:num w:numId="4">
    <w:abstractNumId w:val="13"/>
  </w:num>
  <w:num w:numId="5">
    <w:abstractNumId w:val="9"/>
  </w:num>
  <w:num w:numId="6">
    <w:abstractNumId w:val="16"/>
  </w:num>
  <w:num w:numId="7">
    <w:abstractNumId w:val="1"/>
  </w:num>
  <w:num w:numId="8">
    <w:abstractNumId w:val="18"/>
  </w:num>
  <w:num w:numId="9">
    <w:abstractNumId w:val="19"/>
  </w:num>
  <w:num w:numId="10">
    <w:abstractNumId w:val="6"/>
  </w:num>
  <w:num w:numId="11">
    <w:abstractNumId w:val="15"/>
  </w:num>
  <w:num w:numId="12">
    <w:abstractNumId w:val="4"/>
  </w:num>
  <w:num w:numId="13">
    <w:abstractNumId w:val="17"/>
  </w:num>
  <w:num w:numId="14">
    <w:abstractNumId w:val="12"/>
  </w:num>
  <w:num w:numId="15">
    <w:abstractNumId w:val="3"/>
  </w:num>
  <w:num w:numId="16">
    <w:abstractNumId w:val="5"/>
  </w:num>
  <w:num w:numId="17">
    <w:abstractNumId w:val="8"/>
  </w:num>
  <w:num w:numId="18">
    <w:abstractNumId w:val="20"/>
  </w:num>
  <w:num w:numId="19">
    <w:abstractNumId w:val="14"/>
  </w:num>
  <w:num w:numId="20">
    <w:abstractNumId w:val="2"/>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attachedTemplate r:id="rId1"/>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5FC"/>
    <w:rsid w:val="00056D25"/>
    <w:rsid w:val="002E6C3A"/>
    <w:rsid w:val="00493A1D"/>
    <w:rsid w:val="006170F5"/>
    <w:rsid w:val="006705FC"/>
    <w:rsid w:val="00824709"/>
    <w:rsid w:val="00841574"/>
    <w:rsid w:val="008D3FD2"/>
    <w:rsid w:val="00B94B7C"/>
    <w:rsid w:val="00BF40A5"/>
    <w:rsid w:val="00C51A0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76AEF422"/>
  <w15:docId w15:val="{85E0F43D-BC83-462F-B9A6-B30B116B1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Arial Unicode MS" w:hAnsi="Liberation Serif" w:cs="Arial Unicode MS"/>
        <w:kern w:val="3"/>
        <w:sz w:val="24"/>
        <w:szCs w:val="24"/>
        <w:lang w:val="fr-FR" w:eastAsia="zh-CN" w:bidi="hi-IN"/>
      </w:rPr>
    </w:rPrDefault>
    <w:pPrDefault>
      <w:pPr>
        <w:autoSpaceDN w:val="0"/>
        <w:textAlignment w:val="baseline"/>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pPr>
      <w:suppressAutoHyphens/>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WWOutlineListStyle5">
    <w:name w:val="WW_OutlineListStyle_5"/>
    <w:basedOn w:val="Aucuneliste"/>
    <w:pPr>
      <w:numPr>
        <w:numId w:val="1"/>
      </w:numPr>
    </w:pPr>
  </w:style>
  <w:style w:type="paragraph" w:customStyle="1" w:styleId="Titre11">
    <w:name w:val="Titre 11"/>
    <w:basedOn w:val="Heading"/>
    <w:next w:val="Textbody"/>
    <w:pPr>
      <w:numPr>
        <w:numId w:val="1"/>
      </w:numPr>
      <w:outlineLvl w:val="0"/>
    </w:pPr>
    <w:rPr>
      <w:b/>
      <w:bCs/>
    </w:rPr>
  </w:style>
  <w:style w:type="paragraph" w:customStyle="1" w:styleId="Titre21">
    <w:name w:val="Titre 21"/>
    <w:basedOn w:val="Heading"/>
    <w:next w:val="Textbody"/>
    <w:pPr>
      <w:numPr>
        <w:ilvl w:val="1"/>
        <w:numId w:val="1"/>
      </w:numPr>
      <w:spacing w:before="200"/>
      <w:outlineLvl w:val="1"/>
    </w:pPr>
    <w:rPr>
      <w:b/>
      <w:bCs/>
    </w:rPr>
  </w:style>
  <w:style w:type="character" w:customStyle="1" w:styleId="Policepardfaut1">
    <w:name w:val="Police par défaut1"/>
  </w:style>
  <w:style w:type="paragraph" w:customStyle="1" w:styleId="Standard">
    <w:name w:val="Standard"/>
    <w:pPr>
      <w:suppressAutoHyphens/>
      <w:jc w:val="both"/>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customStyle="1" w:styleId="Liste1">
    <w:name w:val="Liste1"/>
    <w:basedOn w:val="Textbody"/>
  </w:style>
  <w:style w:type="paragraph" w:customStyle="1" w:styleId="Lgende1">
    <w:name w:val="Légende1"/>
    <w:basedOn w:val="Standard"/>
    <w:pPr>
      <w:suppressLineNumbers/>
      <w:spacing w:before="120" w:after="120"/>
    </w:pPr>
    <w:rPr>
      <w:i/>
      <w:iCs/>
    </w:rPr>
  </w:style>
  <w:style w:type="paragraph" w:customStyle="1" w:styleId="Index">
    <w:name w:val="Index"/>
    <w:basedOn w:val="Standard"/>
    <w:pPr>
      <w:suppressLineNumbers/>
    </w:pPr>
  </w:style>
  <w:style w:type="paragraph" w:customStyle="1" w:styleId="En-tte1">
    <w:name w:val="En-tête1"/>
    <w:basedOn w:val="Standard"/>
    <w:pPr>
      <w:suppressLineNumbers/>
      <w:tabs>
        <w:tab w:val="center" w:pos="5046"/>
        <w:tab w:val="right" w:pos="10092"/>
      </w:tabs>
    </w:pPr>
  </w:style>
  <w:style w:type="paragraph" w:customStyle="1" w:styleId="TableContents">
    <w:name w:val="Table Contents"/>
    <w:basedOn w:val="Standard"/>
    <w:pPr>
      <w:suppressLineNumbers/>
    </w:pPr>
  </w:style>
  <w:style w:type="paragraph" w:customStyle="1" w:styleId="indication">
    <w:name w:val="indication"/>
    <w:basedOn w:val="Textbody"/>
    <w:pPr>
      <w:spacing w:after="0" w:line="240" w:lineRule="auto"/>
    </w:pPr>
    <w:rPr>
      <w:color w:val="FF3333"/>
      <w:sz w:val="21"/>
    </w:rPr>
  </w:style>
  <w:style w:type="paragraph" w:customStyle="1" w:styleId="Footnote">
    <w:name w:val="Footnote"/>
    <w:basedOn w:val="Standard"/>
    <w:pPr>
      <w:suppressLineNumbers/>
      <w:ind w:left="339" w:hanging="339"/>
    </w:pPr>
    <w:rPr>
      <w:sz w:val="20"/>
      <w:szCs w:val="20"/>
    </w:rPr>
  </w:style>
  <w:style w:type="character" w:customStyle="1" w:styleId="Internetlink">
    <w:name w:val="Internet link"/>
    <w:rPr>
      <w:color w:val="0000FF"/>
      <w:u w:val="single"/>
    </w:rPr>
  </w:style>
  <w:style w:type="character" w:customStyle="1" w:styleId="VisitedInternetLink">
    <w:name w:val="Visited Internet Link"/>
    <w:rPr>
      <w:color w:val="800080"/>
      <w:u w:val="single"/>
    </w:rPr>
  </w:style>
  <w:style w:type="character" w:customStyle="1" w:styleId="BulletSymbols">
    <w:name w:val="Bullet Symbols"/>
    <w:rPr>
      <w:rFonts w:ascii="OpenSymbol" w:eastAsia="OpenSymbol" w:hAnsi="OpenSymbol" w:cs="OpenSymbol"/>
    </w:rPr>
  </w:style>
  <w:style w:type="character" w:customStyle="1" w:styleId="Footnoteanchor">
    <w:name w:val="Footnote anchor"/>
    <w:rPr>
      <w:position w:val="0"/>
      <w:vertAlign w:val="superscript"/>
    </w:rPr>
  </w:style>
  <w:style w:type="character" w:customStyle="1" w:styleId="FootnoteSymbol">
    <w:name w:val="Footnote Symbol"/>
  </w:style>
  <w:style w:type="character" w:customStyle="1" w:styleId="Character20style">
    <w:name w:val="Character_20_style"/>
  </w:style>
  <w:style w:type="paragraph" w:customStyle="1" w:styleId="Commentaire1">
    <w:name w:val="Commentaire1"/>
    <w:basedOn w:val="Normal"/>
    <w:rPr>
      <w:rFonts w:cs="Mangal"/>
      <w:sz w:val="20"/>
      <w:szCs w:val="18"/>
    </w:rPr>
  </w:style>
  <w:style w:type="character" w:customStyle="1" w:styleId="CommentaireCar">
    <w:name w:val="Commentaire Car"/>
    <w:basedOn w:val="Policepardfaut1"/>
    <w:rPr>
      <w:rFonts w:cs="Mangal"/>
      <w:sz w:val="20"/>
      <w:szCs w:val="18"/>
    </w:rPr>
  </w:style>
  <w:style w:type="character" w:customStyle="1" w:styleId="Marquedecommentaire1">
    <w:name w:val="Marque de commentaire1"/>
    <w:basedOn w:val="Policepardfaut1"/>
    <w:rPr>
      <w:sz w:val="16"/>
      <w:szCs w:val="16"/>
    </w:rPr>
  </w:style>
  <w:style w:type="character" w:customStyle="1" w:styleId="Appelnotedebasdep1">
    <w:name w:val="Appel note de bas de p.1"/>
    <w:basedOn w:val="Policepardfaut1"/>
    <w:rPr>
      <w:position w:val="0"/>
      <w:vertAlign w:val="superscript"/>
    </w:rPr>
  </w:style>
  <w:style w:type="paragraph" w:customStyle="1" w:styleId="Textedebulles1">
    <w:name w:val="Texte de bulles1"/>
    <w:basedOn w:val="Normal"/>
    <w:rPr>
      <w:rFonts w:ascii="Segoe UI" w:hAnsi="Segoe UI" w:cs="Mangal"/>
      <w:sz w:val="18"/>
      <w:szCs w:val="16"/>
    </w:rPr>
  </w:style>
  <w:style w:type="character" w:customStyle="1" w:styleId="TextedebullesCar">
    <w:name w:val="Texte de bulles Car"/>
    <w:basedOn w:val="Policepardfaut1"/>
    <w:rPr>
      <w:rFonts w:ascii="Segoe UI" w:hAnsi="Segoe UI" w:cs="Mangal"/>
      <w:sz w:val="18"/>
      <w:szCs w:val="16"/>
    </w:rPr>
  </w:style>
  <w:style w:type="character" w:customStyle="1" w:styleId="Textedelespacerserv1">
    <w:name w:val="Texte de l'espace réservé1"/>
    <w:basedOn w:val="Policepardfaut1"/>
    <w:rPr>
      <w:color w:val="808080"/>
    </w:rPr>
  </w:style>
  <w:style w:type="character" w:customStyle="1" w:styleId="Style1">
    <w:name w:val="Style1"/>
    <w:basedOn w:val="Policepardfaut1"/>
    <w:rPr>
      <w:rFonts w:ascii="Arial Rounded MT Bold" w:hAnsi="Arial Rounded MT Bold"/>
    </w:rPr>
  </w:style>
  <w:style w:type="character" w:customStyle="1" w:styleId="Style2">
    <w:name w:val="Style2"/>
    <w:basedOn w:val="Policepardfaut1"/>
    <w:rPr>
      <w:sz w:val="20"/>
    </w:rPr>
  </w:style>
  <w:style w:type="character" w:customStyle="1" w:styleId="Style3">
    <w:name w:val="Style3"/>
    <w:basedOn w:val="Policepardfaut1"/>
    <w:rPr>
      <w:rFonts w:ascii="Arial" w:hAnsi="Arial"/>
    </w:rPr>
  </w:style>
  <w:style w:type="character" w:customStyle="1" w:styleId="Style4">
    <w:name w:val="Style4"/>
    <w:basedOn w:val="Policepardfaut1"/>
    <w:rPr>
      <w:sz w:val="22"/>
    </w:rPr>
  </w:style>
  <w:style w:type="character" w:customStyle="1" w:styleId="Style5">
    <w:name w:val="Style5"/>
    <w:basedOn w:val="Policepardfaut1"/>
    <w:rPr>
      <w:rFonts w:ascii="Arial" w:hAnsi="Arial"/>
      <w:sz w:val="22"/>
    </w:rPr>
  </w:style>
  <w:style w:type="paragraph" w:customStyle="1" w:styleId="Pieddepage1">
    <w:name w:val="Pied de page1"/>
    <w:basedOn w:val="Normal"/>
    <w:pPr>
      <w:tabs>
        <w:tab w:val="center" w:pos="4536"/>
        <w:tab w:val="right" w:pos="9072"/>
      </w:tabs>
    </w:pPr>
    <w:rPr>
      <w:rFonts w:cs="Mangal"/>
      <w:szCs w:val="21"/>
    </w:rPr>
  </w:style>
  <w:style w:type="character" w:customStyle="1" w:styleId="PieddepageCar">
    <w:name w:val="Pied de page Car"/>
    <w:basedOn w:val="Policepardfaut1"/>
    <w:rPr>
      <w:rFonts w:cs="Mangal"/>
      <w:szCs w:val="21"/>
    </w:rPr>
  </w:style>
  <w:style w:type="character" w:customStyle="1" w:styleId="Lienhypertexte1">
    <w:name w:val="Lien hypertexte1"/>
    <w:basedOn w:val="Policepardfaut1"/>
    <w:rPr>
      <w:color w:val="0563C1"/>
      <w:u w:val="single"/>
    </w:rPr>
  </w:style>
  <w:style w:type="numbering" w:customStyle="1" w:styleId="WWOutlineListStyle4">
    <w:name w:val="WW_OutlineListStyle_4"/>
    <w:basedOn w:val="Aucuneliste"/>
    <w:pPr>
      <w:numPr>
        <w:numId w:val="2"/>
      </w:numPr>
    </w:pPr>
  </w:style>
  <w:style w:type="numbering" w:customStyle="1" w:styleId="WWOutlineListStyle3">
    <w:name w:val="WW_OutlineListStyle_3"/>
    <w:basedOn w:val="Aucuneliste"/>
    <w:pPr>
      <w:numPr>
        <w:numId w:val="3"/>
      </w:numPr>
    </w:pPr>
  </w:style>
  <w:style w:type="numbering" w:customStyle="1" w:styleId="WWOutlineListStyle2">
    <w:name w:val="WW_OutlineListStyle_2"/>
    <w:basedOn w:val="Aucuneliste"/>
    <w:pPr>
      <w:numPr>
        <w:numId w:val="4"/>
      </w:numPr>
    </w:pPr>
  </w:style>
  <w:style w:type="numbering" w:customStyle="1" w:styleId="WWOutlineListStyle1">
    <w:name w:val="WW_OutlineListStyle_1"/>
    <w:basedOn w:val="Aucuneliste"/>
    <w:pPr>
      <w:numPr>
        <w:numId w:val="5"/>
      </w:numPr>
    </w:pPr>
  </w:style>
  <w:style w:type="numbering" w:customStyle="1" w:styleId="WWOutlineListStyle">
    <w:name w:val="WW_OutlineListStyle"/>
    <w:basedOn w:val="Aucuneliste"/>
    <w:pPr>
      <w:numPr>
        <w:numId w:val="6"/>
      </w:numPr>
    </w:pPr>
  </w:style>
  <w:style w:type="numbering" w:customStyle="1" w:styleId="Outline">
    <w:name w:val="Outline"/>
    <w:basedOn w:val="Aucuneliste"/>
    <w:pPr>
      <w:numPr>
        <w:numId w:val="7"/>
      </w:numPr>
    </w:pPr>
  </w:style>
  <w:style w:type="numbering" w:customStyle="1" w:styleId="WW8Num11">
    <w:name w:val="WW8Num11"/>
    <w:basedOn w:val="Aucuneliste"/>
    <w:pPr>
      <w:numPr>
        <w:numId w:val="8"/>
      </w:numPr>
    </w:pPr>
  </w:style>
  <w:style w:type="numbering" w:customStyle="1" w:styleId="WW8Num6">
    <w:name w:val="WW8Num6"/>
    <w:basedOn w:val="Aucuneliste"/>
    <w:pPr>
      <w:numPr>
        <w:numId w:val="9"/>
      </w:numPr>
    </w:pPr>
  </w:style>
  <w:style w:type="character" w:styleId="Appelnotedebasdep">
    <w:name w:val="footnote reference"/>
    <w:basedOn w:val="Policepardfaut"/>
    <w:uiPriority w:val="99"/>
    <w:semiHidden/>
    <w:unhideWhenUsed/>
    <w:rPr>
      <w:vertAlign w:val="superscript"/>
    </w:rPr>
  </w:style>
  <w:style w:type="paragraph" w:styleId="En-tte">
    <w:name w:val="header"/>
    <w:basedOn w:val="Normal"/>
    <w:link w:val="En-tteCar"/>
    <w:uiPriority w:val="99"/>
    <w:unhideWhenUsed/>
    <w:pPr>
      <w:tabs>
        <w:tab w:val="center" w:pos="4680"/>
        <w:tab w:val="right" w:pos="9360"/>
      </w:tabs>
    </w:pPr>
    <w:rPr>
      <w:rFonts w:cs="Mangal"/>
      <w:szCs w:val="21"/>
    </w:rPr>
  </w:style>
  <w:style w:type="character" w:customStyle="1" w:styleId="En-tteCar">
    <w:name w:val="En-tête Car"/>
    <w:basedOn w:val="Policepardfaut"/>
    <w:link w:val="En-tte"/>
    <w:uiPriority w:val="99"/>
    <w:rPr>
      <w:rFonts w:cs="Mang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s://geode.unice.fr/nuxeo/nxpath/default/Documents%20Partag&#233;s%20UNS/workspaces/Enseignement%20et%20offre%20de/Dipl&#244;mes%20d'&#233;tablissement@view_documents?tabIds=%3A&amp;conversationId=0NXMAIN" TargetMode="External"/><Relationship Id="rId8" Type="http://schemas.openxmlformats.org/officeDocument/2006/relationships/header" Target="head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5</Pages>
  <Words>1507</Words>
  <Characters>8294</Characters>
  <Application>Microsoft Macintosh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André Baudin</dc:creator>
  <cp:lastModifiedBy>Valentina Tirloni</cp:lastModifiedBy>
  <cp:revision>12</cp:revision>
  <dcterms:created xsi:type="dcterms:W3CDTF">2020-02-24T20:56:00Z</dcterms:created>
  <dcterms:modified xsi:type="dcterms:W3CDTF">2020-02-25T08:12:00Z</dcterms:modified>
</cp:coreProperties>
</file>